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18EF2882" w:rsidR="00E203C2" w:rsidRDefault="00F27A38" w:rsidP="00E203C2">
      <w:r>
        <w:softHyphen/>
      </w:r>
      <w:r w:rsidR="00E203C2">
        <w:rPr>
          <w:noProof/>
          <w:lang w:eastAsia="en-GB" w:bidi="ar-SA"/>
        </w:rPr>
        <w:drawing>
          <wp:inline distT="0" distB="0" distL="0" distR="0" wp14:anchorId="53705D84" wp14:editId="18C068F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Pr="00C342D7" w:rsidRDefault="00E203C2" w:rsidP="00E203C2">
      <w:bookmarkStart w:id="0" w:name="_GoBack"/>
    </w:p>
    <w:p w14:paraId="52BA9928" w14:textId="7349F842" w:rsidR="00CA641D" w:rsidRPr="00C342D7" w:rsidRDefault="00C342D7" w:rsidP="00CA641D">
      <w:pPr>
        <w:rPr>
          <w:b/>
          <w:sz w:val="28"/>
          <w:szCs w:val="28"/>
        </w:rPr>
      </w:pPr>
      <w:r w:rsidRPr="00C342D7">
        <w:rPr>
          <w:b/>
          <w:sz w:val="28"/>
          <w:szCs w:val="28"/>
        </w:rPr>
        <w:t>21 May 2021</w:t>
      </w:r>
    </w:p>
    <w:p w14:paraId="77C5FA87" w14:textId="265A58BF" w:rsidR="00C342D7" w:rsidRPr="00C342D7" w:rsidRDefault="00C342D7" w:rsidP="00CA641D">
      <w:pPr>
        <w:rPr>
          <w:b/>
          <w:sz w:val="28"/>
          <w:szCs w:val="28"/>
        </w:rPr>
      </w:pPr>
      <w:r w:rsidRPr="00C342D7">
        <w:rPr>
          <w:b/>
          <w:sz w:val="28"/>
          <w:szCs w:val="28"/>
        </w:rPr>
        <w:t>156-21</w:t>
      </w:r>
    </w:p>
    <w:bookmarkEnd w:id="0"/>
    <w:p w14:paraId="5B92753D" w14:textId="77777777" w:rsidR="0057615C" w:rsidRPr="0057615C" w:rsidRDefault="0057615C" w:rsidP="00690206">
      <w:pPr>
        <w:pStyle w:val="FSTitle"/>
        <w:rPr>
          <w:b/>
          <w:sz w:val="22"/>
        </w:rPr>
      </w:pPr>
    </w:p>
    <w:p w14:paraId="48392800" w14:textId="24B75385" w:rsidR="00E203C2" w:rsidRPr="00DC6846" w:rsidRDefault="00092CDA" w:rsidP="00DC6846">
      <w:pPr>
        <w:pStyle w:val="FSTitle"/>
        <w:spacing w:after="240"/>
        <w:rPr>
          <w:b/>
        </w:rPr>
      </w:pPr>
      <w:r w:rsidRPr="005B7A73">
        <w:rPr>
          <w:b/>
        </w:rPr>
        <w:t>S</w:t>
      </w:r>
      <w:r w:rsidR="00B12F1E" w:rsidRPr="005B7A73">
        <w:rPr>
          <w:b/>
        </w:rPr>
        <w:t xml:space="preserve">upporting </w:t>
      </w:r>
      <w:r w:rsidR="00B12F1E" w:rsidRPr="005A6DC8">
        <w:rPr>
          <w:b/>
        </w:rPr>
        <w:t>document</w:t>
      </w:r>
      <w:r w:rsidRPr="005A6DC8">
        <w:rPr>
          <w:b/>
        </w:rPr>
        <w:t xml:space="preserve"> </w:t>
      </w:r>
      <w:r w:rsidR="00C1761C" w:rsidRPr="005A6DC8">
        <w:rPr>
          <w:b/>
        </w:rPr>
        <w:t>2</w:t>
      </w:r>
      <w:r w:rsidR="00B664DE">
        <w:rPr>
          <w:b/>
        </w:rPr>
        <w:t xml:space="preserve"> – Assessment of galacto-oligosaccharides against three </w:t>
      </w:r>
      <w:r w:rsidR="00B664DE" w:rsidRPr="00B664DE">
        <w:rPr>
          <w:b/>
        </w:rPr>
        <w:t>beneficial physiological effects</w:t>
      </w:r>
    </w:p>
    <w:p w14:paraId="3CA16420" w14:textId="6FEBD6D8" w:rsidR="00E203C2" w:rsidRPr="00DC6846" w:rsidRDefault="00DC6846" w:rsidP="00DC6846">
      <w:pPr>
        <w:widowControl/>
        <w:pBdr>
          <w:bottom w:val="single" w:sz="12" w:space="1" w:color="auto"/>
        </w:pBdr>
        <w:spacing w:after="240" w:line="280" w:lineRule="exact"/>
        <w:rPr>
          <w:rFonts w:cs="Arial"/>
          <w:bCs/>
          <w:sz w:val="32"/>
          <w:szCs w:val="22"/>
        </w:rPr>
      </w:pPr>
      <w:r>
        <w:rPr>
          <w:rFonts w:cs="Arial"/>
          <w:bCs/>
          <w:sz w:val="32"/>
          <w:szCs w:val="22"/>
        </w:rPr>
        <w:t xml:space="preserve">A1178 – </w:t>
      </w:r>
      <w:r w:rsidR="00B664DE" w:rsidRPr="00360A9B">
        <w:rPr>
          <w:rFonts w:cs="Arial"/>
          <w:bCs/>
          <w:sz w:val="32"/>
          <w:szCs w:val="22"/>
        </w:rPr>
        <w:t>AOAC 2017.16 as a new method of analysis for total dietary fibre</w:t>
      </w:r>
    </w:p>
    <w:p w14:paraId="168AF5F2" w14:textId="77777777" w:rsidR="00092CDA" w:rsidRPr="00092CDA" w:rsidRDefault="00092CDA" w:rsidP="00352CF2">
      <w:pPr>
        <w:pStyle w:val="Heading1"/>
        <w:spacing w:before="0"/>
      </w:pPr>
      <w:bookmarkStart w:id="1" w:name="_Toc286391001"/>
      <w:bookmarkStart w:id="2" w:name="_Toc300933414"/>
      <w:bookmarkStart w:id="3" w:name="_Toc64561453"/>
      <w:bookmarkStart w:id="4" w:name="_Toc66868355"/>
      <w:r w:rsidRPr="00092CDA">
        <w:t xml:space="preserve">Executive </w:t>
      </w:r>
      <w:r w:rsidR="00B12F1E">
        <w:t>s</w:t>
      </w:r>
      <w:r w:rsidRPr="00092CDA">
        <w:t>ummary</w:t>
      </w:r>
      <w:bookmarkEnd w:id="1"/>
      <w:bookmarkEnd w:id="2"/>
      <w:bookmarkEnd w:id="3"/>
      <w:bookmarkEnd w:id="4"/>
    </w:p>
    <w:p w14:paraId="56188018" w14:textId="6875AD53" w:rsidR="00C857AD" w:rsidRDefault="00C857AD" w:rsidP="00C857AD">
      <w:pPr>
        <w:rPr>
          <w:lang w:bidi="ar-SA"/>
        </w:rPr>
      </w:pPr>
      <w:r>
        <w:rPr>
          <w:lang w:bidi="ar-SA"/>
        </w:rPr>
        <w:t xml:space="preserve">Application A1178 seeks to amend the </w:t>
      </w:r>
      <w:r>
        <w:rPr>
          <w:i/>
          <w:lang w:bidi="ar-SA"/>
        </w:rPr>
        <w:t>Australian New Zealand Food Standards Code</w:t>
      </w:r>
      <w:r>
        <w:rPr>
          <w:lang w:bidi="ar-SA"/>
        </w:rPr>
        <w:t xml:space="preserve"> (the Code) to permit the addition of an alternate method of analysis of dietary fibre, </w:t>
      </w:r>
      <w:r w:rsidRPr="006D22F4">
        <w:rPr>
          <w:lang w:bidi="ar-SA"/>
        </w:rPr>
        <w:t>AOAC Method 2017.16</w:t>
      </w:r>
      <w:r>
        <w:rPr>
          <w:lang w:bidi="ar-SA"/>
        </w:rPr>
        <w:t xml:space="preserve"> (McCleary 2019). </w:t>
      </w:r>
      <w:r w:rsidRPr="00C85850">
        <w:rPr>
          <w:lang w:bidi="ar-SA"/>
        </w:rPr>
        <w:t>As described in Supporting Document 1 (SD1),</w:t>
      </w:r>
      <w:r>
        <w:rPr>
          <w:lang w:bidi="ar-SA"/>
        </w:rPr>
        <w:t xml:space="preserve"> galacto-oligosaccharides</w:t>
      </w:r>
      <w:r w:rsidR="00C92EF1">
        <w:rPr>
          <w:lang w:bidi="ar-SA"/>
        </w:rPr>
        <w:t xml:space="preserve"> (GOS)</w:t>
      </w:r>
      <w:r>
        <w:rPr>
          <w:lang w:bidi="ar-SA"/>
        </w:rPr>
        <w:t xml:space="preserve"> are a component measured by AOAC Method 2017.16 and contribute to the method’s analytical value for total fibre. The assessment described in this Supporting Document considers whether </w:t>
      </w:r>
      <w:r w:rsidR="00C92EF1">
        <w:rPr>
          <w:lang w:bidi="ar-SA"/>
        </w:rPr>
        <w:t>GOS</w:t>
      </w:r>
      <w:r>
        <w:rPr>
          <w:lang w:bidi="ar-SA"/>
        </w:rPr>
        <w:t xml:space="preserve"> meet the three beneficial physiological effects listed in the Code’s definition of dietary fibre provided in Standard 1.1.2 – </w:t>
      </w:r>
      <w:r w:rsidRPr="003E62CE">
        <w:rPr>
          <w:lang w:bidi="ar-SA"/>
        </w:rPr>
        <w:t>Definitions used throughout the Code</w:t>
      </w:r>
      <w:r>
        <w:rPr>
          <w:lang w:bidi="ar-SA"/>
        </w:rPr>
        <w:t>.</w:t>
      </w:r>
    </w:p>
    <w:p w14:paraId="04F6FFD3" w14:textId="77777777" w:rsidR="00C857AD" w:rsidRDefault="00C857AD" w:rsidP="00C857AD">
      <w:pPr>
        <w:rPr>
          <w:lang w:bidi="ar-SA"/>
        </w:rPr>
      </w:pPr>
    </w:p>
    <w:p w14:paraId="12C0F2BC" w14:textId="7969A543" w:rsidR="00C857AD" w:rsidRPr="00C1761C" w:rsidRDefault="00C857AD" w:rsidP="00C857AD">
      <w:pPr>
        <w:rPr>
          <w:lang w:bidi="ar-SA"/>
        </w:rPr>
      </w:pPr>
      <w:r>
        <w:rPr>
          <w:lang w:bidi="ar-SA"/>
        </w:rPr>
        <w:t xml:space="preserve">We assessed evidence from human trials that investigated whether </w:t>
      </w:r>
      <w:r w:rsidR="00C92EF1">
        <w:rPr>
          <w:lang w:bidi="ar-SA"/>
        </w:rPr>
        <w:t>GOS</w:t>
      </w:r>
      <w:r w:rsidRPr="00C1761C">
        <w:rPr>
          <w:lang w:bidi="ar-SA"/>
        </w:rPr>
        <w:t xml:space="preserve"> promote </w:t>
      </w:r>
      <w:r>
        <w:rPr>
          <w:lang w:bidi="ar-SA"/>
        </w:rPr>
        <w:t xml:space="preserve">at least one of </w:t>
      </w:r>
      <w:r w:rsidRPr="00C1761C">
        <w:rPr>
          <w:lang w:bidi="ar-SA"/>
        </w:rPr>
        <w:t xml:space="preserve">the </w:t>
      </w:r>
      <w:r>
        <w:rPr>
          <w:lang w:bidi="ar-SA"/>
        </w:rPr>
        <w:t xml:space="preserve">beneficial </w:t>
      </w:r>
      <w:r w:rsidRPr="00C1761C">
        <w:rPr>
          <w:lang w:bidi="ar-SA"/>
        </w:rPr>
        <w:t xml:space="preserve">physiological effects </w:t>
      </w:r>
      <w:r>
        <w:rPr>
          <w:lang w:bidi="ar-SA"/>
        </w:rPr>
        <w:t xml:space="preserve">prescribed in </w:t>
      </w:r>
      <w:r w:rsidRPr="00C1761C">
        <w:rPr>
          <w:lang w:bidi="ar-SA"/>
        </w:rPr>
        <w:t>the Code’s definition of dietary fibre</w:t>
      </w:r>
      <w:r>
        <w:rPr>
          <w:lang w:bidi="ar-SA"/>
        </w:rPr>
        <w:t>. The</w:t>
      </w:r>
      <w:r w:rsidRPr="00C1761C">
        <w:rPr>
          <w:lang w:bidi="ar-SA"/>
        </w:rPr>
        <w:t xml:space="preserve"> </w:t>
      </w:r>
      <w:r>
        <w:rPr>
          <w:lang w:bidi="ar-SA"/>
        </w:rPr>
        <w:t xml:space="preserve">beneficial physiological effects </w:t>
      </w:r>
      <w:r w:rsidRPr="00C1761C">
        <w:rPr>
          <w:lang w:bidi="ar-SA"/>
        </w:rPr>
        <w:t>are:</w:t>
      </w:r>
    </w:p>
    <w:p w14:paraId="0F2CC8CD" w14:textId="77777777" w:rsidR="00C857AD" w:rsidRPr="00C1761C" w:rsidRDefault="00C857AD" w:rsidP="00C857AD">
      <w:pPr>
        <w:pStyle w:val="ListParagraph"/>
        <w:numPr>
          <w:ilvl w:val="1"/>
          <w:numId w:val="4"/>
        </w:numPr>
        <w:rPr>
          <w:rFonts w:cs="Arial"/>
          <w:i/>
          <w:szCs w:val="22"/>
          <w:lang w:bidi="ar-SA"/>
        </w:rPr>
      </w:pPr>
      <w:r w:rsidRPr="00C1761C">
        <w:rPr>
          <w:rFonts w:cs="Arial"/>
          <w:i/>
        </w:rPr>
        <w:t>laxation;</w:t>
      </w:r>
    </w:p>
    <w:p w14:paraId="44202448" w14:textId="77777777" w:rsidR="00C857AD" w:rsidRPr="00C1761C" w:rsidRDefault="00C857AD" w:rsidP="00C857AD">
      <w:pPr>
        <w:pStyle w:val="ListParagraph"/>
        <w:numPr>
          <w:ilvl w:val="1"/>
          <w:numId w:val="4"/>
        </w:numPr>
        <w:rPr>
          <w:rFonts w:cs="Arial"/>
          <w:i/>
          <w:szCs w:val="22"/>
          <w:lang w:bidi="ar-SA"/>
        </w:rPr>
      </w:pPr>
      <w:r w:rsidRPr="00C1761C">
        <w:rPr>
          <w:rFonts w:cs="Arial"/>
          <w:i/>
        </w:rPr>
        <w:t>reduction in blood cholesterol;</w:t>
      </w:r>
    </w:p>
    <w:p w14:paraId="201CC6C2" w14:textId="2902DE75" w:rsidR="00C857AD" w:rsidRPr="00C1761C" w:rsidRDefault="005A03D8" w:rsidP="00C857AD">
      <w:pPr>
        <w:pStyle w:val="ListParagraph"/>
        <w:numPr>
          <w:ilvl w:val="1"/>
          <w:numId w:val="4"/>
        </w:numPr>
        <w:rPr>
          <w:rFonts w:cs="Arial"/>
          <w:i/>
          <w:szCs w:val="22"/>
          <w:lang w:bidi="ar-SA"/>
        </w:rPr>
      </w:pPr>
      <w:r>
        <w:rPr>
          <w:rFonts w:cs="Arial"/>
          <w:i/>
        </w:rPr>
        <w:t>modulation of blood glucose.</w:t>
      </w:r>
    </w:p>
    <w:p w14:paraId="0B01C9D6" w14:textId="77777777" w:rsidR="00C857AD" w:rsidRPr="00C1761C" w:rsidRDefault="00C857AD" w:rsidP="00C857AD">
      <w:pPr>
        <w:rPr>
          <w:rFonts w:cs="Arial"/>
          <w:szCs w:val="22"/>
          <w:lang w:bidi="ar-SA"/>
        </w:rPr>
      </w:pPr>
    </w:p>
    <w:p w14:paraId="5EA8C38C" w14:textId="471F4728" w:rsidR="00C857AD" w:rsidRPr="00D906E5" w:rsidRDefault="00C857AD" w:rsidP="00C857AD">
      <w:pPr>
        <w:rPr>
          <w:strike/>
          <w:lang w:bidi="ar-SA"/>
        </w:rPr>
      </w:pPr>
      <w:r>
        <w:rPr>
          <w:lang w:bidi="ar-SA"/>
        </w:rPr>
        <w:t>Current evidence shows that a higher dietary fibre intake, from foods naturally rich in intact dietary fibre, lowers the risk of many non-communicable diseases. Inverse dose-response relationships between fibre intake and all-cause mortality, colorectal cancer, type 2 diabetes mellitus, and incidence of coronary heart disease have been demonstrated (Reynolds et al. 2019). These desirable health outcomes are mediated, in part, through the effect of dietary fibre on cardiometabolic risk factors and intermediary physiological outcomes; three of which are sufficiently well-established to be incorporated as health criteria that define dietary fibre in the Code. Consuming foods naturally high in dietary fibre is an important part of dietary guidelines and nutrition education. M</w:t>
      </w:r>
      <w:r w:rsidRPr="00C1761C">
        <w:rPr>
          <w:lang w:bidi="ar-SA"/>
        </w:rPr>
        <w:t>any consumers</w:t>
      </w:r>
      <w:r>
        <w:rPr>
          <w:lang w:bidi="ar-SA"/>
        </w:rPr>
        <w:t xml:space="preserve"> perceive fibre as being ‘good for health’. It is common for processed foods to be manufactured with added dietary fibre, whether extracted or synthetically produced. It may be possible for some extracted or synthetically produced dietary fibres to exert physiological effects; however, t</w:t>
      </w:r>
      <w:r w:rsidRPr="00C1761C">
        <w:rPr>
          <w:lang w:bidi="ar-SA"/>
        </w:rPr>
        <w:t>he evidence supporting fibre’s role</w:t>
      </w:r>
      <w:r>
        <w:rPr>
          <w:lang w:bidi="ar-SA"/>
        </w:rPr>
        <w:t xml:space="preserve"> in preventing non-communicable disease </w:t>
      </w:r>
      <w:r w:rsidRPr="00EA288E">
        <w:rPr>
          <w:lang w:bidi="ar-SA"/>
        </w:rPr>
        <w:t>is</w:t>
      </w:r>
      <w:r w:rsidRPr="00C1761C">
        <w:rPr>
          <w:lang w:bidi="ar-SA"/>
        </w:rPr>
        <w:t xml:space="preserve"> based primarily on</w:t>
      </w:r>
      <w:r>
        <w:rPr>
          <w:lang w:bidi="ar-SA"/>
        </w:rPr>
        <w:t xml:space="preserve"> intake of fibre from whole grains, fruits, and vegetables (Reynolds et al. 2019) but not added fibre. Thus, the benefits of synthetic </w:t>
      </w:r>
      <w:r w:rsidR="004D4683">
        <w:rPr>
          <w:lang w:bidi="ar-SA"/>
        </w:rPr>
        <w:t xml:space="preserve">analogues of </w:t>
      </w:r>
      <w:r>
        <w:rPr>
          <w:lang w:bidi="ar-SA"/>
        </w:rPr>
        <w:t xml:space="preserve">dietary fibres tend to be assessed according to their effects on physiological or biochemical outcomes linked with non-communicable disease risk; in this case the three outcomes listed in the Code: </w:t>
      </w:r>
      <w:r w:rsidRPr="00D906E5">
        <w:rPr>
          <w:rFonts w:cs="Arial"/>
          <w:i/>
        </w:rPr>
        <w:t>laxation;</w:t>
      </w:r>
      <w:r>
        <w:rPr>
          <w:rFonts w:cs="Arial"/>
          <w:i/>
        </w:rPr>
        <w:t xml:space="preserve"> </w:t>
      </w:r>
      <w:r w:rsidRPr="00C1761C">
        <w:rPr>
          <w:rFonts w:cs="Arial"/>
          <w:i/>
        </w:rPr>
        <w:t>reduction in blood cholesterol;</w:t>
      </w:r>
      <w:r>
        <w:rPr>
          <w:rFonts w:cs="Arial"/>
          <w:i/>
        </w:rPr>
        <w:t xml:space="preserve"> and, </w:t>
      </w:r>
      <w:r w:rsidRPr="00D906E5">
        <w:rPr>
          <w:rFonts w:cs="Arial"/>
          <w:i/>
        </w:rPr>
        <w:t>modulation of blood glucose</w:t>
      </w:r>
      <w:r>
        <w:rPr>
          <w:rFonts w:cs="Arial"/>
          <w:i/>
        </w:rPr>
        <w:t>.</w:t>
      </w:r>
    </w:p>
    <w:p w14:paraId="0B62C387" w14:textId="77777777" w:rsidR="00C857AD" w:rsidRDefault="00C857AD" w:rsidP="00C857AD">
      <w:pPr>
        <w:rPr>
          <w:rFonts w:cs="Arial"/>
          <w:szCs w:val="22"/>
          <w:lang w:bidi="ar-SA"/>
        </w:rPr>
      </w:pPr>
    </w:p>
    <w:p w14:paraId="66F3DA92" w14:textId="3E019FAC" w:rsidR="00C857AD" w:rsidRPr="003A01FB" w:rsidRDefault="00C857AD" w:rsidP="00C857AD">
      <w:r>
        <w:rPr>
          <w:rFonts w:cs="Arial"/>
        </w:rPr>
        <w:lastRenderedPageBreak/>
        <w:t xml:space="preserve">The current assessment evaluates parallel or crossover controlled trials in humans, where the intervention group consumed additional </w:t>
      </w:r>
      <w:r w:rsidR="00C92EF1">
        <w:rPr>
          <w:rFonts w:cs="Arial"/>
        </w:rPr>
        <w:t>GOS</w:t>
      </w:r>
      <w:r>
        <w:rPr>
          <w:rFonts w:cs="Arial"/>
        </w:rPr>
        <w:t xml:space="preserve"> in isolation to other non-digestible carbohydrates, and </w:t>
      </w:r>
      <w:r>
        <w:t>that reported an outcome related to the three beneficial physiological effects listed in the Code.</w:t>
      </w:r>
      <w:r>
        <w:rPr>
          <w:rFonts w:cs="Arial"/>
        </w:rPr>
        <w:t xml:space="preserve"> The eligible studies were mainly randomised trials with a placebo control. </w:t>
      </w:r>
      <w:r>
        <w:t>We conducted a meta-analysis if the outcome was assessed by at least two studies. A narrative review was completed, for other outcomes.</w:t>
      </w:r>
    </w:p>
    <w:p w14:paraId="34150CA6" w14:textId="77777777" w:rsidR="00C857AD" w:rsidRDefault="00C857AD" w:rsidP="00C857AD">
      <w:pPr>
        <w:rPr>
          <w:rFonts w:cs="Arial"/>
          <w:szCs w:val="22"/>
          <w:lang w:bidi="ar-SA"/>
        </w:rPr>
      </w:pPr>
    </w:p>
    <w:p w14:paraId="26930E94" w14:textId="1ADDE916" w:rsidR="00C857AD" w:rsidRDefault="00C857AD" w:rsidP="00C857AD">
      <w:pPr>
        <w:rPr>
          <w:rFonts w:cs="Arial"/>
          <w:szCs w:val="22"/>
          <w:lang w:bidi="ar-SA"/>
        </w:rPr>
      </w:pPr>
      <w:r>
        <w:rPr>
          <w:rFonts w:cs="Arial"/>
          <w:szCs w:val="22"/>
          <w:lang w:bidi="ar-SA"/>
        </w:rPr>
        <w:t xml:space="preserve">The results of our meta-analyses </w:t>
      </w:r>
      <w:r w:rsidRPr="00C1761C">
        <w:rPr>
          <w:rFonts w:cs="Arial"/>
          <w:szCs w:val="22"/>
          <w:lang w:bidi="ar-SA"/>
        </w:rPr>
        <w:t xml:space="preserve">indicate that </w:t>
      </w:r>
      <w:r w:rsidR="00C92EF1">
        <w:rPr>
          <w:rFonts w:cs="Arial"/>
          <w:szCs w:val="22"/>
          <w:lang w:bidi="ar-SA"/>
        </w:rPr>
        <w:t>GOS</w:t>
      </w:r>
      <w:r>
        <w:rPr>
          <w:rFonts w:cs="Arial"/>
          <w:szCs w:val="22"/>
          <w:lang w:bidi="ar-SA"/>
        </w:rPr>
        <w:t xml:space="preserve"> intake</w:t>
      </w:r>
      <w:r w:rsidRPr="00C1761C">
        <w:rPr>
          <w:rFonts w:cs="Arial"/>
          <w:szCs w:val="22"/>
          <w:lang w:bidi="ar-SA"/>
        </w:rPr>
        <w:t xml:space="preserve"> </w:t>
      </w:r>
      <w:r>
        <w:rPr>
          <w:rFonts w:cs="Arial"/>
          <w:szCs w:val="22"/>
          <w:lang w:bidi="ar-SA"/>
        </w:rPr>
        <w:t xml:space="preserve">does not alter total or LDL cholesterol, fasting glucose, or stool weight (summary effect sizes are provided in </w:t>
      </w:r>
      <w:r w:rsidRPr="00C1761C">
        <w:rPr>
          <w:rFonts w:cs="Arial"/>
          <w:szCs w:val="22"/>
          <w:lang w:bidi="ar-SA"/>
        </w:rPr>
        <w:t xml:space="preserve">Table 1). </w:t>
      </w:r>
      <w:r>
        <w:rPr>
          <w:rFonts w:cs="Arial"/>
          <w:szCs w:val="22"/>
        </w:rPr>
        <w:t xml:space="preserve">The results from the trials also show that </w:t>
      </w:r>
      <w:r w:rsidR="00C92EF1">
        <w:rPr>
          <w:rFonts w:cs="Arial"/>
          <w:szCs w:val="22"/>
        </w:rPr>
        <w:t>GOS</w:t>
      </w:r>
      <w:r>
        <w:rPr>
          <w:rFonts w:cs="Arial"/>
          <w:szCs w:val="22"/>
        </w:rPr>
        <w:t xml:space="preserve"> do not affect other outcomes related to blood lipids, glycaemic control, or laxation, including: HDL-cholesterol; fasting triglycerides; glycosylated haemoglobin; postprandial glycaemic response; fasting insulin; HOMA-IR; </w:t>
      </w:r>
      <w:r w:rsidRPr="00C1761C">
        <w:rPr>
          <w:rFonts w:cs="Arial"/>
          <w:szCs w:val="22"/>
        </w:rPr>
        <w:t>five additional insulin-related outcomes</w:t>
      </w:r>
      <w:r>
        <w:rPr>
          <w:rFonts w:cs="Arial"/>
          <w:szCs w:val="22"/>
        </w:rPr>
        <w:t>;</w:t>
      </w:r>
      <w:r w:rsidRPr="00C1761C">
        <w:rPr>
          <w:rFonts w:cs="Arial"/>
          <w:szCs w:val="22"/>
        </w:rPr>
        <w:t xml:space="preserve"> </w:t>
      </w:r>
      <w:r>
        <w:rPr>
          <w:rFonts w:cs="Arial"/>
          <w:szCs w:val="22"/>
        </w:rPr>
        <w:t xml:space="preserve">relative stool weight; </w:t>
      </w:r>
      <w:r w:rsidRPr="00C1761C">
        <w:rPr>
          <w:rFonts w:cs="Arial"/>
          <w:szCs w:val="22"/>
        </w:rPr>
        <w:t>bowel movement or stool frequency</w:t>
      </w:r>
      <w:r>
        <w:rPr>
          <w:rFonts w:cs="Arial"/>
          <w:szCs w:val="22"/>
        </w:rPr>
        <w:t>;</w:t>
      </w:r>
      <w:r w:rsidRPr="00C1761C">
        <w:rPr>
          <w:rFonts w:cs="Arial"/>
          <w:szCs w:val="22"/>
        </w:rPr>
        <w:t xml:space="preserve"> </w:t>
      </w:r>
      <w:r>
        <w:rPr>
          <w:rFonts w:cs="Arial"/>
          <w:szCs w:val="22"/>
        </w:rPr>
        <w:t xml:space="preserve">and, </w:t>
      </w:r>
      <w:r w:rsidRPr="00C1761C">
        <w:rPr>
          <w:rFonts w:cs="Arial"/>
          <w:szCs w:val="22"/>
        </w:rPr>
        <w:t xml:space="preserve">intestinal </w:t>
      </w:r>
      <w:r w:rsidRPr="00FC38E1">
        <w:rPr>
          <w:rFonts w:cs="Arial"/>
          <w:szCs w:val="22"/>
        </w:rPr>
        <w:t xml:space="preserve">transit time (summary effects of some outcomes are provided </w:t>
      </w:r>
      <w:r w:rsidR="00171B30" w:rsidRPr="00FC38E1">
        <w:rPr>
          <w:rFonts w:cs="Arial"/>
          <w:szCs w:val="22"/>
        </w:rPr>
        <w:t xml:space="preserve">in Table </w:t>
      </w:r>
      <w:r w:rsidR="002131C1" w:rsidRPr="00FC38E1">
        <w:rPr>
          <w:rFonts w:cs="Arial"/>
          <w:szCs w:val="22"/>
        </w:rPr>
        <w:t>5</w:t>
      </w:r>
      <w:r w:rsidR="00B57DAF" w:rsidRPr="00FC38E1">
        <w:rPr>
          <w:rFonts w:cs="Arial"/>
          <w:szCs w:val="22"/>
        </w:rPr>
        <w:t>, Appendix Section 2.1</w:t>
      </w:r>
      <w:r w:rsidRPr="00FC38E1">
        <w:rPr>
          <w:rFonts w:cs="Arial"/>
          <w:szCs w:val="22"/>
        </w:rPr>
        <w:t>). Adverse effects were noted</w:t>
      </w:r>
      <w:r w:rsidR="00B10927" w:rsidRPr="00FC38E1">
        <w:rPr>
          <w:lang w:bidi="ar-SA"/>
        </w:rPr>
        <w:t xml:space="preserve"> in two studies that tested the lowest GOS intake level of all included studies and </w:t>
      </w:r>
      <w:r w:rsidR="00B10927" w:rsidRPr="00FC38E1">
        <w:rPr>
          <w:rFonts w:cs="Arial"/>
          <w:szCs w:val="22"/>
        </w:rPr>
        <w:t xml:space="preserve">had excluded volunteers with </w:t>
      </w:r>
      <w:r w:rsidR="00B10927" w:rsidRPr="00FC38E1">
        <w:rPr>
          <w:rFonts w:cs="Arial"/>
        </w:rPr>
        <w:t>gastrointestinal tract conditions</w:t>
      </w:r>
      <w:r w:rsidR="00B10927" w:rsidRPr="00FC38E1">
        <w:rPr>
          <w:rFonts w:cs="Arial"/>
          <w:szCs w:val="22"/>
        </w:rPr>
        <w:t xml:space="preserve">. </w:t>
      </w:r>
      <w:r w:rsidR="00B10927" w:rsidRPr="00FC38E1">
        <w:rPr>
          <w:lang w:bidi="ar-SA"/>
        </w:rPr>
        <w:t>O</w:t>
      </w:r>
      <w:r w:rsidRPr="00FC38E1">
        <w:rPr>
          <w:lang w:bidi="ar-SA"/>
        </w:rPr>
        <w:t xml:space="preserve">ne participant withdrew due to gastrointestinal upset (Pedersen et al. 2016) and another due to </w:t>
      </w:r>
      <w:r w:rsidRPr="00FC38E1">
        <w:rPr>
          <w:rFonts w:cs="Arial"/>
          <w:szCs w:val="22"/>
        </w:rPr>
        <w:t>tolerance problems (Vulevic et al. 2008), however, the severity of symptoms and possible cause were not reported.</w:t>
      </w:r>
    </w:p>
    <w:p w14:paraId="72A3082C" w14:textId="77777777" w:rsidR="00C857AD" w:rsidRDefault="00C857AD" w:rsidP="00C857AD">
      <w:pPr>
        <w:rPr>
          <w:rFonts w:cs="Arial"/>
        </w:rPr>
      </w:pPr>
    </w:p>
    <w:p w14:paraId="737D79F7" w14:textId="74EB94BC" w:rsidR="00C857AD" w:rsidRPr="000A0E71" w:rsidRDefault="00C857AD" w:rsidP="00C857AD">
      <w:pPr>
        <w:keepNext/>
        <w:keepLines/>
        <w:rPr>
          <w:rFonts w:cs="Arial"/>
          <w:b/>
          <w:szCs w:val="22"/>
          <w:lang w:bidi="ar-SA"/>
        </w:rPr>
      </w:pPr>
      <w:r w:rsidRPr="000A0E71">
        <w:rPr>
          <w:rFonts w:cs="Arial"/>
          <w:b/>
        </w:rPr>
        <w:t xml:space="preserve">Table </w:t>
      </w:r>
      <w:r>
        <w:rPr>
          <w:rFonts w:cs="Arial"/>
          <w:b/>
        </w:rPr>
        <w:t>1</w:t>
      </w:r>
      <w:r w:rsidRPr="000A0E71">
        <w:rPr>
          <w:rFonts w:cs="Arial"/>
          <w:b/>
        </w:rPr>
        <w:t>: Galacto-oligosaccharide intake has no overall mean effect on outcomes</w:t>
      </w:r>
      <w:r>
        <w:rPr>
          <w:rFonts w:cs="Arial"/>
          <w:b/>
        </w:rPr>
        <w:t xml:space="preserve"> related to laxation, blood cholesterol, and blood glucose</w:t>
      </w:r>
      <w:r w:rsidRPr="000A0E71">
        <w:rPr>
          <w:rFonts w:cs="Arial"/>
          <w:b/>
        </w:rPr>
        <w:t>.</w:t>
      </w:r>
    </w:p>
    <w:tbl>
      <w:tblPr>
        <w:tblStyle w:val="TableGrid"/>
        <w:tblW w:w="8138" w:type="dxa"/>
        <w:tblLayout w:type="fixed"/>
        <w:tblLook w:val="04A0" w:firstRow="1" w:lastRow="0" w:firstColumn="1" w:lastColumn="0" w:noHBand="0" w:noVBand="1"/>
        <w:tblCaption w:val="Table 1 Galacto-oligosaccharide intake has no overall mean effect on outcomes related to laxation, blood cholesterol, and blood glucose."/>
        <w:tblDescription w:val="Table 1 contains 5 columns. Column 1 lists outomes. Column 2 lists units of measurement. Column 3 lists the mean difference with its 95% confidence interval. Column 4 lists the P value for the mean difference. Column 5 lists the number of included studies and pair-wise comparisons. "/>
      </w:tblPr>
      <w:tblGrid>
        <w:gridCol w:w="1759"/>
        <w:gridCol w:w="946"/>
        <w:gridCol w:w="2393"/>
        <w:gridCol w:w="921"/>
        <w:gridCol w:w="2119"/>
      </w:tblGrid>
      <w:tr w:rsidR="00C857AD" w:rsidRPr="00C1761C" w14:paraId="3FA1CB22" w14:textId="77777777" w:rsidTr="00C857AD">
        <w:tc>
          <w:tcPr>
            <w:tcW w:w="1759" w:type="dxa"/>
          </w:tcPr>
          <w:p w14:paraId="2FBCEDD8" w14:textId="77777777" w:rsidR="00C857AD" w:rsidRPr="00C1761C" w:rsidRDefault="00C857AD" w:rsidP="00C857AD">
            <w:pPr>
              <w:keepNext/>
              <w:keepLines/>
              <w:rPr>
                <w:b/>
                <w:sz w:val="18"/>
                <w:szCs w:val="18"/>
              </w:rPr>
            </w:pPr>
            <w:r w:rsidRPr="00C1761C">
              <w:rPr>
                <w:b/>
                <w:sz w:val="18"/>
                <w:szCs w:val="18"/>
              </w:rPr>
              <w:t>Outcome</w:t>
            </w:r>
          </w:p>
        </w:tc>
        <w:tc>
          <w:tcPr>
            <w:tcW w:w="946" w:type="dxa"/>
          </w:tcPr>
          <w:p w14:paraId="7DFD4DB5" w14:textId="77777777" w:rsidR="00C857AD" w:rsidRPr="00C1761C" w:rsidRDefault="00C857AD" w:rsidP="00C857AD">
            <w:pPr>
              <w:keepNext/>
              <w:keepLines/>
              <w:rPr>
                <w:b/>
                <w:sz w:val="18"/>
                <w:szCs w:val="18"/>
              </w:rPr>
            </w:pPr>
            <w:r w:rsidRPr="00C1761C">
              <w:rPr>
                <w:b/>
                <w:sz w:val="18"/>
                <w:szCs w:val="18"/>
              </w:rPr>
              <w:t>Units</w:t>
            </w:r>
          </w:p>
        </w:tc>
        <w:tc>
          <w:tcPr>
            <w:tcW w:w="2393" w:type="dxa"/>
          </w:tcPr>
          <w:p w14:paraId="799B1B93" w14:textId="77777777" w:rsidR="00C857AD" w:rsidRPr="00C1761C" w:rsidRDefault="00C857AD" w:rsidP="00C857AD">
            <w:pPr>
              <w:keepNext/>
              <w:keepLines/>
              <w:rPr>
                <w:b/>
                <w:sz w:val="18"/>
                <w:szCs w:val="18"/>
                <w:vertAlign w:val="superscript"/>
              </w:rPr>
            </w:pPr>
            <w:r w:rsidRPr="00C1761C">
              <w:rPr>
                <w:b/>
                <w:sz w:val="18"/>
                <w:szCs w:val="18"/>
              </w:rPr>
              <w:t>Mean difference (95% CI)</w:t>
            </w:r>
            <w:r w:rsidRPr="00C1761C">
              <w:rPr>
                <w:b/>
                <w:sz w:val="18"/>
                <w:szCs w:val="18"/>
                <w:vertAlign w:val="superscript"/>
              </w:rPr>
              <w:t>1</w:t>
            </w:r>
          </w:p>
        </w:tc>
        <w:tc>
          <w:tcPr>
            <w:tcW w:w="921" w:type="dxa"/>
          </w:tcPr>
          <w:p w14:paraId="4E7DDC4C" w14:textId="77777777" w:rsidR="00C857AD" w:rsidRPr="00C1761C" w:rsidRDefault="00C857AD" w:rsidP="00C857AD">
            <w:pPr>
              <w:keepNext/>
              <w:keepLines/>
              <w:rPr>
                <w:b/>
                <w:i/>
                <w:sz w:val="18"/>
                <w:szCs w:val="18"/>
              </w:rPr>
            </w:pPr>
            <w:r w:rsidRPr="00C1761C">
              <w:rPr>
                <w:b/>
                <w:i/>
                <w:sz w:val="18"/>
                <w:szCs w:val="18"/>
              </w:rPr>
              <w:t>P</w:t>
            </w:r>
            <w:r w:rsidRPr="00C1761C">
              <w:rPr>
                <w:b/>
                <w:sz w:val="18"/>
                <w:szCs w:val="18"/>
                <w:vertAlign w:val="superscript"/>
              </w:rPr>
              <w:t>2</w:t>
            </w:r>
          </w:p>
        </w:tc>
        <w:tc>
          <w:tcPr>
            <w:tcW w:w="2119" w:type="dxa"/>
          </w:tcPr>
          <w:p w14:paraId="4D79403A" w14:textId="77777777" w:rsidR="00C857AD" w:rsidRPr="009E69C2" w:rsidRDefault="00C857AD" w:rsidP="00C857AD">
            <w:pPr>
              <w:keepNext/>
              <w:keepLines/>
              <w:rPr>
                <w:b/>
                <w:sz w:val="18"/>
                <w:szCs w:val="18"/>
                <w:vertAlign w:val="superscript"/>
              </w:rPr>
            </w:pPr>
            <w:r w:rsidRPr="00C1761C">
              <w:rPr>
                <w:b/>
                <w:sz w:val="18"/>
                <w:szCs w:val="18"/>
              </w:rPr>
              <w:t>Number of included studies</w:t>
            </w:r>
            <w:r>
              <w:rPr>
                <w:b/>
                <w:sz w:val="18"/>
                <w:szCs w:val="18"/>
              </w:rPr>
              <w:t xml:space="preserve"> and pair-wise comparison</w:t>
            </w:r>
            <w:r w:rsidRPr="0094712A">
              <w:rPr>
                <w:b/>
                <w:sz w:val="18"/>
                <w:szCs w:val="18"/>
              </w:rPr>
              <w:t>s</w:t>
            </w:r>
          </w:p>
        </w:tc>
      </w:tr>
      <w:tr w:rsidR="00C857AD" w:rsidRPr="00C1761C" w14:paraId="4E0ED35A" w14:textId="77777777" w:rsidTr="00C857AD">
        <w:tc>
          <w:tcPr>
            <w:tcW w:w="1759" w:type="dxa"/>
          </w:tcPr>
          <w:p w14:paraId="3CFABDEE" w14:textId="77777777" w:rsidR="00C857AD" w:rsidRPr="00C1761C" w:rsidRDefault="00C857AD" w:rsidP="00C857AD">
            <w:pPr>
              <w:keepNext/>
              <w:keepLines/>
              <w:rPr>
                <w:sz w:val="18"/>
                <w:szCs w:val="18"/>
              </w:rPr>
            </w:pPr>
            <w:r w:rsidRPr="00C1761C">
              <w:rPr>
                <w:rFonts w:cs="Arial"/>
                <w:sz w:val="18"/>
                <w:szCs w:val="18"/>
              </w:rPr>
              <w:t>Stool weight</w:t>
            </w:r>
          </w:p>
        </w:tc>
        <w:tc>
          <w:tcPr>
            <w:tcW w:w="946" w:type="dxa"/>
          </w:tcPr>
          <w:p w14:paraId="7A55207C" w14:textId="77777777" w:rsidR="00C857AD" w:rsidRPr="00C1761C" w:rsidRDefault="00C857AD" w:rsidP="00C857AD">
            <w:pPr>
              <w:keepNext/>
              <w:keepLines/>
              <w:rPr>
                <w:sz w:val="18"/>
                <w:szCs w:val="18"/>
              </w:rPr>
            </w:pPr>
            <w:r w:rsidRPr="00C1761C">
              <w:rPr>
                <w:sz w:val="18"/>
                <w:szCs w:val="18"/>
              </w:rPr>
              <w:t>gram</w:t>
            </w:r>
          </w:p>
        </w:tc>
        <w:tc>
          <w:tcPr>
            <w:tcW w:w="2393" w:type="dxa"/>
          </w:tcPr>
          <w:p w14:paraId="2ECC2AC3" w14:textId="77777777" w:rsidR="00C857AD" w:rsidRPr="00C1761C" w:rsidRDefault="00C857AD" w:rsidP="00C857AD">
            <w:pPr>
              <w:keepNext/>
              <w:keepLines/>
              <w:rPr>
                <w:sz w:val="18"/>
                <w:szCs w:val="18"/>
              </w:rPr>
            </w:pPr>
            <w:r w:rsidRPr="00C1761C">
              <w:rPr>
                <w:rFonts w:cs="Arial"/>
                <w:sz w:val="18"/>
                <w:szCs w:val="18"/>
              </w:rPr>
              <w:t>6.34 (-6.21, 18.</w:t>
            </w:r>
            <w:r>
              <w:rPr>
                <w:rFonts w:cs="Arial"/>
                <w:sz w:val="18"/>
                <w:szCs w:val="18"/>
              </w:rPr>
              <w:t>9</w:t>
            </w:r>
            <w:r w:rsidRPr="00C1761C">
              <w:rPr>
                <w:rFonts w:cs="Arial"/>
                <w:sz w:val="18"/>
                <w:szCs w:val="18"/>
              </w:rPr>
              <w:t>)</w:t>
            </w:r>
          </w:p>
        </w:tc>
        <w:tc>
          <w:tcPr>
            <w:tcW w:w="921" w:type="dxa"/>
          </w:tcPr>
          <w:p w14:paraId="69913C1A" w14:textId="77777777" w:rsidR="00C857AD" w:rsidRPr="00C1761C" w:rsidRDefault="00C857AD" w:rsidP="00C857AD">
            <w:pPr>
              <w:keepNext/>
              <w:keepLines/>
              <w:rPr>
                <w:rFonts w:cs="Arial"/>
                <w:sz w:val="18"/>
                <w:szCs w:val="18"/>
              </w:rPr>
            </w:pPr>
            <w:r w:rsidRPr="00C1761C">
              <w:rPr>
                <w:sz w:val="18"/>
                <w:szCs w:val="18"/>
              </w:rPr>
              <w:t>0.32</w:t>
            </w:r>
          </w:p>
        </w:tc>
        <w:tc>
          <w:tcPr>
            <w:tcW w:w="2119" w:type="dxa"/>
          </w:tcPr>
          <w:p w14:paraId="03BB934E" w14:textId="77777777" w:rsidR="00C857AD" w:rsidRPr="00C1761C" w:rsidRDefault="00C857AD" w:rsidP="00C857AD">
            <w:pPr>
              <w:keepNext/>
              <w:keepLines/>
              <w:rPr>
                <w:sz w:val="18"/>
                <w:szCs w:val="18"/>
              </w:rPr>
            </w:pPr>
            <w:r w:rsidRPr="00C1761C">
              <w:rPr>
                <w:sz w:val="18"/>
                <w:szCs w:val="18"/>
              </w:rPr>
              <w:t>3, 6</w:t>
            </w:r>
          </w:p>
        </w:tc>
      </w:tr>
      <w:tr w:rsidR="00C857AD" w:rsidRPr="00C1761C" w14:paraId="3D5B682B" w14:textId="77777777" w:rsidTr="00C857AD">
        <w:tc>
          <w:tcPr>
            <w:tcW w:w="1759" w:type="dxa"/>
          </w:tcPr>
          <w:p w14:paraId="29CF107E" w14:textId="77777777" w:rsidR="00C857AD" w:rsidRPr="00C1761C" w:rsidRDefault="00C857AD" w:rsidP="00C857AD">
            <w:pPr>
              <w:keepNext/>
              <w:keepLines/>
              <w:rPr>
                <w:sz w:val="18"/>
                <w:szCs w:val="18"/>
              </w:rPr>
            </w:pPr>
            <w:r w:rsidRPr="00C1761C">
              <w:rPr>
                <w:rFonts w:cs="Arial"/>
                <w:sz w:val="18"/>
                <w:szCs w:val="18"/>
              </w:rPr>
              <w:t>Total cholesterol</w:t>
            </w:r>
          </w:p>
        </w:tc>
        <w:tc>
          <w:tcPr>
            <w:tcW w:w="946" w:type="dxa"/>
          </w:tcPr>
          <w:p w14:paraId="07B881BA" w14:textId="77777777" w:rsidR="00C857AD" w:rsidRPr="00C1761C" w:rsidRDefault="00C857AD" w:rsidP="00C857AD">
            <w:pPr>
              <w:keepNext/>
              <w:keepLines/>
              <w:rPr>
                <w:sz w:val="18"/>
                <w:szCs w:val="18"/>
              </w:rPr>
            </w:pPr>
            <w:r w:rsidRPr="00C1761C">
              <w:rPr>
                <w:rFonts w:cs="Arial"/>
                <w:sz w:val="18"/>
                <w:szCs w:val="18"/>
              </w:rPr>
              <w:t>mmol/L</w:t>
            </w:r>
          </w:p>
        </w:tc>
        <w:tc>
          <w:tcPr>
            <w:tcW w:w="2393" w:type="dxa"/>
          </w:tcPr>
          <w:p w14:paraId="4C5568C7" w14:textId="77777777" w:rsidR="00C857AD" w:rsidRPr="00C1761C" w:rsidRDefault="00C857AD" w:rsidP="00C857AD">
            <w:pPr>
              <w:keepNext/>
              <w:keepLines/>
              <w:rPr>
                <w:rFonts w:cs="Arial"/>
                <w:sz w:val="18"/>
                <w:szCs w:val="18"/>
              </w:rPr>
            </w:pPr>
            <w:r w:rsidRPr="00C1761C">
              <w:rPr>
                <w:rFonts w:cs="Arial"/>
                <w:sz w:val="18"/>
                <w:szCs w:val="18"/>
              </w:rPr>
              <w:t>-0.13 (-0.34, 0.08)</w:t>
            </w:r>
          </w:p>
        </w:tc>
        <w:tc>
          <w:tcPr>
            <w:tcW w:w="921" w:type="dxa"/>
          </w:tcPr>
          <w:p w14:paraId="03A17A94" w14:textId="77777777" w:rsidR="00C857AD" w:rsidRPr="00C1761C" w:rsidRDefault="00C857AD" w:rsidP="00C857AD">
            <w:pPr>
              <w:keepNext/>
              <w:keepLines/>
              <w:rPr>
                <w:sz w:val="18"/>
                <w:szCs w:val="18"/>
              </w:rPr>
            </w:pPr>
            <w:r w:rsidRPr="00C1761C">
              <w:rPr>
                <w:sz w:val="18"/>
                <w:szCs w:val="18"/>
              </w:rPr>
              <w:t>0.21</w:t>
            </w:r>
          </w:p>
        </w:tc>
        <w:tc>
          <w:tcPr>
            <w:tcW w:w="2119" w:type="dxa"/>
          </w:tcPr>
          <w:p w14:paraId="64E842E6" w14:textId="77777777" w:rsidR="00C857AD" w:rsidRPr="00C1761C" w:rsidRDefault="00C857AD" w:rsidP="00C857AD">
            <w:pPr>
              <w:keepNext/>
              <w:keepLines/>
              <w:rPr>
                <w:sz w:val="18"/>
                <w:szCs w:val="18"/>
              </w:rPr>
            </w:pPr>
            <w:r w:rsidRPr="00C1761C">
              <w:rPr>
                <w:sz w:val="18"/>
                <w:szCs w:val="18"/>
              </w:rPr>
              <w:t>4, 4</w:t>
            </w:r>
          </w:p>
        </w:tc>
      </w:tr>
      <w:tr w:rsidR="00C857AD" w:rsidRPr="00C1761C" w14:paraId="20E500B3" w14:textId="77777777" w:rsidTr="00C857AD">
        <w:tc>
          <w:tcPr>
            <w:tcW w:w="1759" w:type="dxa"/>
          </w:tcPr>
          <w:p w14:paraId="76B801B3" w14:textId="77777777" w:rsidR="00C857AD" w:rsidRPr="00C1761C" w:rsidRDefault="00C857AD" w:rsidP="00C857AD">
            <w:pPr>
              <w:keepNext/>
              <w:keepLines/>
              <w:rPr>
                <w:sz w:val="18"/>
                <w:szCs w:val="18"/>
              </w:rPr>
            </w:pPr>
            <w:r w:rsidRPr="00C1761C">
              <w:rPr>
                <w:rFonts w:cs="Arial"/>
                <w:sz w:val="18"/>
                <w:szCs w:val="18"/>
              </w:rPr>
              <w:t>LDL-cholesterol</w:t>
            </w:r>
          </w:p>
        </w:tc>
        <w:tc>
          <w:tcPr>
            <w:tcW w:w="946" w:type="dxa"/>
          </w:tcPr>
          <w:p w14:paraId="0C262631" w14:textId="77777777" w:rsidR="00C857AD" w:rsidRPr="00C1761C" w:rsidRDefault="00C857AD" w:rsidP="00C857AD">
            <w:pPr>
              <w:keepNext/>
              <w:keepLines/>
              <w:rPr>
                <w:sz w:val="18"/>
                <w:szCs w:val="18"/>
              </w:rPr>
            </w:pPr>
            <w:r w:rsidRPr="00C1761C">
              <w:rPr>
                <w:rFonts w:cs="Arial"/>
                <w:sz w:val="18"/>
                <w:szCs w:val="18"/>
              </w:rPr>
              <w:t>mmol/L</w:t>
            </w:r>
          </w:p>
        </w:tc>
        <w:tc>
          <w:tcPr>
            <w:tcW w:w="2393" w:type="dxa"/>
          </w:tcPr>
          <w:p w14:paraId="2E93EA83" w14:textId="77777777" w:rsidR="00C857AD" w:rsidRPr="00C1761C" w:rsidRDefault="00C857AD" w:rsidP="00C857AD">
            <w:pPr>
              <w:keepNext/>
              <w:keepLines/>
              <w:rPr>
                <w:sz w:val="18"/>
                <w:szCs w:val="18"/>
              </w:rPr>
            </w:pPr>
            <w:r w:rsidRPr="00C1761C">
              <w:rPr>
                <w:rFonts w:cs="Arial"/>
                <w:sz w:val="18"/>
                <w:szCs w:val="18"/>
              </w:rPr>
              <w:t>-0.11 (-0.29, 0.08)</w:t>
            </w:r>
          </w:p>
        </w:tc>
        <w:tc>
          <w:tcPr>
            <w:tcW w:w="921" w:type="dxa"/>
          </w:tcPr>
          <w:p w14:paraId="7B986CB7" w14:textId="77777777" w:rsidR="00C857AD" w:rsidRPr="00C1761C" w:rsidRDefault="00C857AD" w:rsidP="00C857AD">
            <w:pPr>
              <w:keepNext/>
              <w:keepLines/>
              <w:rPr>
                <w:sz w:val="18"/>
                <w:szCs w:val="18"/>
              </w:rPr>
            </w:pPr>
            <w:r w:rsidRPr="00C1761C">
              <w:rPr>
                <w:sz w:val="18"/>
                <w:szCs w:val="18"/>
              </w:rPr>
              <w:t>0.25</w:t>
            </w:r>
          </w:p>
        </w:tc>
        <w:tc>
          <w:tcPr>
            <w:tcW w:w="2119" w:type="dxa"/>
          </w:tcPr>
          <w:p w14:paraId="218FB37A" w14:textId="77777777" w:rsidR="00C857AD" w:rsidRPr="00C1761C" w:rsidRDefault="00C857AD" w:rsidP="00C857AD">
            <w:pPr>
              <w:keepNext/>
              <w:keepLines/>
              <w:rPr>
                <w:sz w:val="18"/>
                <w:szCs w:val="18"/>
              </w:rPr>
            </w:pPr>
            <w:r w:rsidRPr="00C1761C">
              <w:rPr>
                <w:sz w:val="18"/>
                <w:szCs w:val="18"/>
              </w:rPr>
              <w:t>3, 3</w:t>
            </w:r>
          </w:p>
        </w:tc>
      </w:tr>
      <w:tr w:rsidR="00C857AD" w:rsidRPr="00C1761C" w14:paraId="022D09D9" w14:textId="77777777" w:rsidTr="00C857AD">
        <w:tc>
          <w:tcPr>
            <w:tcW w:w="1759" w:type="dxa"/>
          </w:tcPr>
          <w:p w14:paraId="0C58A168" w14:textId="77777777" w:rsidR="00C857AD" w:rsidRPr="00C1761C" w:rsidRDefault="00C857AD" w:rsidP="00C857AD">
            <w:pPr>
              <w:keepNext/>
              <w:keepLines/>
              <w:rPr>
                <w:sz w:val="18"/>
                <w:szCs w:val="18"/>
                <w:vertAlign w:val="superscript"/>
              </w:rPr>
            </w:pPr>
            <w:r>
              <w:rPr>
                <w:rFonts w:cs="Arial"/>
                <w:sz w:val="18"/>
                <w:szCs w:val="18"/>
              </w:rPr>
              <w:t>Fasting g</w:t>
            </w:r>
            <w:r w:rsidRPr="00C1761C">
              <w:rPr>
                <w:rFonts w:cs="Arial"/>
                <w:sz w:val="18"/>
                <w:szCs w:val="18"/>
              </w:rPr>
              <w:t>lucose</w:t>
            </w:r>
            <w:r>
              <w:rPr>
                <w:rFonts w:cs="Arial"/>
                <w:sz w:val="18"/>
                <w:szCs w:val="18"/>
                <w:vertAlign w:val="superscript"/>
              </w:rPr>
              <w:t>3</w:t>
            </w:r>
          </w:p>
        </w:tc>
        <w:tc>
          <w:tcPr>
            <w:tcW w:w="946" w:type="dxa"/>
          </w:tcPr>
          <w:p w14:paraId="3F34C61C" w14:textId="77777777" w:rsidR="00C857AD" w:rsidRPr="00C1761C" w:rsidRDefault="00C857AD" w:rsidP="00C857AD">
            <w:pPr>
              <w:keepNext/>
              <w:keepLines/>
              <w:rPr>
                <w:sz w:val="18"/>
                <w:szCs w:val="18"/>
              </w:rPr>
            </w:pPr>
            <w:r w:rsidRPr="00C1761C">
              <w:rPr>
                <w:rFonts w:cs="Arial"/>
                <w:sz w:val="18"/>
                <w:szCs w:val="18"/>
              </w:rPr>
              <w:t>mmol/L</w:t>
            </w:r>
          </w:p>
        </w:tc>
        <w:tc>
          <w:tcPr>
            <w:tcW w:w="2393" w:type="dxa"/>
          </w:tcPr>
          <w:p w14:paraId="66A0E3E8" w14:textId="77777777" w:rsidR="00C857AD" w:rsidRPr="00C1761C" w:rsidRDefault="00C857AD" w:rsidP="00C857AD">
            <w:pPr>
              <w:keepNext/>
              <w:keepLines/>
              <w:rPr>
                <w:sz w:val="18"/>
                <w:szCs w:val="18"/>
              </w:rPr>
            </w:pPr>
            <w:r w:rsidRPr="00C1761C">
              <w:rPr>
                <w:rFonts w:cs="Arial"/>
                <w:sz w:val="18"/>
                <w:szCs w:val="18"/>
              </w:rPr>
              <w:t>-0.09 (-0.19, 0.00)</w:t>
            </w:r>
          </w:p>
        </w:tc>
        <w:tc>
          <w:tcPr>
            <w:tcW w:w="921" w:type="dxa"/>
          </w:tcPr>
          <w:p w14:paraId="45541CEA" w14:textId="77777777" w:rsidR="00C857AD" w:rsidRPr="00C1761C" w:rsidRDefault="00C857AD" w:rsidP="00C857AD">
            <w:pPr>
              <w:keepNext/>
              <w:keepLines/>
              <w:rPr>
                <w:sz w:val="18"/>
                <w:szCs w:val="18"/>
              </w:rPr>
            </w:pPr>
            <w:r w:rsidRPr="00C1761C">
              <w:rPr>
                <w:sz w:val="18"/>
                <w:szCs w:val="18"/>
              </w:rPr>
              <w:t>0.06</w:t>
            </w:r>
          </w:p>
        </w:tc>
        <w:tc>
          <w:tcPr>
            <w:tcW w:w="2119" w:type="dxa"/>
          </w:tcPr>
          <w:p w14:paraId="46E60A7C" w14:textId="77777777" w:rsidR="00C857AD" w:rsidRPr="00C1761C" w:rsidRDefault="00C857AD" w:rsidP="00C857AD">
            <w:pPr>
              <w:keepNext/>
              <w:keepLines/>
              <w:rPr>
                <w:sz w:val="18"/>
                <w:szCs w:val="18"/>
              </w:rPr>
            </w:pPr>
            <w:r w:rsidRPr="00C1761C">
              <w:rPr>
                <w:sz w:val="18"/>
                <w:szCs w:val="18"/>
              </w:rPr>
              <w:t>4, 4</w:t>
            </w:r>
          </w:p>
        </w:tc>
      </w:tr>
    </w:tbl>
    <w:p w14:paraId="14DF724C" w14:textId="77777777" w:rsidR="00C857AD" w:rsidRDefault="00C857AD" w:rsidP="00C857AD">
      <w:pPr>
        <w:keepNext/>
        <w:keepLines/>
        <w:rPr>
          <w:rFonts w:cs="Arial"/>
          <w:sz w:val="18"/>
          <w:szCs w:val="18"/>
          <w:lang w:bidi="ar-SA"/>
        </w:rPr>
      </w:pPr>
      <w:r w:rsidRPr="00C1761C">
        <w:rPr>
          <w:rFonts w:cs="Arial"/>
          <w:sz w:val="18"/>
          <w:szCs w:val="18"/>
        </w:rPr>
        <w:t>CI, confidence interval;</w:t>
      </w:r>
      <w:r w:rsidRPr="00C1761C">
        <w:rPr>
          <w:sz w:val="18"/>
          <w:szCs w:val="18"/>
        </w:rPr>
        <w:t xml:space="preserve"> L, litre; LDL</w:t>
      </w:r>
      <w:r>
        <w:rPr>
          <w:rFonts w:cs="Arial"/>
          <w:sz w:val="18"/>
          <w:szCs w:val="18"/>
        </w:rPr>
        <w:t xml:space="preserve">, low density lipoprotein. </w:t>
      </w:r>
      <w:r>
        <w:rPr>
          <w:rFonts w:cs="Arial"/>
          <w:sz w:val="18"/>
          <w:szCs w:val="18"/>
          <w:vertAlign w:val="superscript"/>
        </w:rPr>
        <w:t>1</w:t>
      </w:r>
      <w:r w:rsidRPr="00960FD1">
        <w:rPr>
          <w:rFonts w:cs="Arial"/>
          <w:sz w:val="18"/>
          <w:szCs w:val="18"/>
        </w:rPr>
        <w:t>M</w:t>
      </w:r>
      <w:r>
        <w:rPr>
          <w:rFonts w:cs="Arial"/>
          <w:sz w:val="18"/>
          <w:szCs w:val="18"/>
        </w:rPr>
        <w:t>ean difference is calculated as intervention minus placebo</w:t>
      </w:r>
      <w:r w:rsidRPr="006545C6">
        <w:rPr>
          <w:rFonts w:cs="Arial"/>
          <w:sz w:val="18"/>
          <w:szCs w:val="18"/>
        </w:rPr>
        <w:t xml:space="preserve">. </w:t>
      </w:r>
      <w:r w:rsidRPr="006545C6">
        <w:rPr>
          <w:rFonts w:cs="Arial"/>
          <w:sz w:val="18"/>
          <w:szCs w:val="18"/>
          <w:vertAlign w:val="superscript"/>
        </w:rPr>
        <w:t>2</w:t>
      </w:r>
      <w:r w:rsidRPr="006545C6">
        <w:rPr>
          <w:rFonts w:cs="Arial"/>
          <w:i/>
          <w:sz w:val="18"/>
          <w:szCs w:val="18"/>
        </w:rPr>
        <w:t>P</w:t>
      </w:r>
      <w:r>
        <w:rPr>
          <w:rFonts w:cs="Arial"/>
          <w:i/>
          <w:sz w:val="18"/>
          <w:szCs w:val="18"/>
        </w:rPr>
        <w:t>-value</w:t>
      </w:r>
      <w:r w:rsidRPr="006545C6">
        <w:rPr>
          <w:rFonts w:cs="Arial"/>
          <w:i/>
          <w:sz w:val="18"/>
          <w:szCs w:val="18"/>
        </w:rPr>
        <w:t xml:space="preserve"> </w:t>
      </w:r>
      <w:r w:rsidRPr="006545C6">
        <w:rPr>
          <w:sz w:val="18"/>
          <w:szCs w:val="18"/>
        </w:rPr>
        <w:t>pertains to overall</w:t>
      </w:r>
      <w:r>
        <w:rPr>
          <w:sz w:val="18"/>
          <w:szCs w:val="18"/>
        </w:rPr>
        <w:t xml:space="preserve"> mean difference (i.e. effect size)</w:t>
      </w:r>
      <w:r w:rsidRPr="006545C6">
        <w:rPr>
          <w:sz w:val="18"/>
          <w:szCs w:val="18"/>
        </w:rPr>
        <w:t>.</w:t>
      </w:r>
      <w:r>
        <w:rPr>
          <w:sz w:val="18"/>
          <w:szCs w:val="18"/>
        </w:rPr>
        <w:t xml:space="preserve"> </w:t>
      </w:r>
      <w:r>
        <w:rPr>
          <w:sz w:val="18"/>
          <w:szCs w:val="18"/>
          <w:vertAlign w:val="superscript"/>
        </w:rPr>
        <w:t>3</w:t>
      </w:r>
      <w:r w:rsidRPr="00C1761C">
        <w:rPr>
          <w:rFonts w:cs="Arial"/>
          <w:sz w:val="18"/>
          <w:szCs w:val="18"/>
          <w:lang w:bidi="ar-SA"/>
        </w:rPr>
        <w:t>Fasting status confirmed by three of four studies</w:t>
      </w:r>
      <w:r>
        <w:rPr>
          <w:rFonts w:cs="Arial"/>
          <w:sz w:val="18"/>
          <w:szCs w:val="18"/>
          <w:lang w:bidi="ar-SA"/>
        </w:rPr>
        <w:t xml:space="preserve"> and assumed for one study (Vulevic et al. 2013)</w:t>
      </w:r>
      <w:r w:rsidRPr="00C1761C">
        <w:rPr>
          <w:rFonts w:cs="Arial"/>
          <w:sz w:val="18"/>
          <w:szCs w:val="18"/>
          <w:lang w:bidi="ar-SA"/>
        </w:rPr>
        <w:t>.</w:t>
      </w:r>
    </w:p>
    <w:p w14:paraId="5B308462" w14:textId="77777777" w:rsidR="00C857AD" w:rsidRDefault="00C857AD" w:rsidP="00C857AD">
      <w:pPr>
        <w:rPr>
          <w:rFonts w:cs="Arial"/>
        </w:rPr>
      </w:pPr>
    </w:p>
    <w:p w14:paraId="6F538BF9" w14:textId="77777777" w:rsidR="00C857AD" w:rsidRDefault="00C857AD" w:rsidP="00C857AD">
      <w:pPr>
        <w:rPr>
          <w:rFonts w:cs="Arial"/>
        </w:rPr>
      </w:pPr>
    </w:p>
    <w:p w14:paraId="732DD0A1" w14:textId="15F0C9FA" w:rsidR="00C857AD" w:rsidRDefault="00C857AD" w:rsidP="00C857AD">
      <w:pPr>
        <w:rPr>
          <w:rFonts w:cs="Arial"/>
        </w:rPr>
      </w:pPr>
      <w:r>
        <w:rPr>
          <w:rFonts w:cs="Arial"/>
        </w:rPr>
        <w:t xml:space="preserve">Most of this assessment’s evidence is derived from seven controlled studies, involving a total of 223 participants. These studies collectively assessed a wide range of intakes of added </w:t>
      </w:r>
      <w:r w:rsidR="00C92EF1">
        <w:rPr>
          <w:rFonts w:cs="Arial"/>
        </w:rPr>
        <w:t>GOS</w:t>
      </w:r>
      <w:r>
        <w:rPr>
          <w:rFonts w:cs="Arial"/>
        </w:rPr>
        <w:t>, up to very high intakes of 15 g per day. All seven trials had links with industry, whether through declared interests or funding; however, the small number of trials and lack of studies without industry associations precluded any subgroup analysis to examine potential bias in the findings.</w:t>
      </w:r>
      <w:r>
        <w:rPr>
          <w:rFonts w:cs="Arial"/>
          <w:szCs w:val="22"/>
          <w:lang w:bidi="ar-SA"/>
        </w:rPr>
        <w:t xml:space="preserve"> </w:t>
      </w:r>
      <w:r w:rsidR="00BD7979" w:rsidRPr="00BD7979">
        <w:rPr>
          <w:rFonts w:cs="Arial"/>
        </w:rPr>
        <w:t>The body of evidence about the physiological effects of GOS only includes results from clinical trials which used synthetic analogues, not the natural forms, and shows that GOS does not affect the three beneficial physiological effects listed in the Code. Therefore, insofar as naturally occurring GOS is concerned, the physiological effects are inferred on the basis of structural similarities to synthetic analogues and extend from an indirect body of evidence (i.e. synthetic analogues).</w:t>
      </w:r>
      <w:r w:rsidRPr="006D630B">
        <w:rPr>
          <w:rFonts w:cs="Arial"/>
        </w:rPr>
        <w:t xml:space="preserve">The chemical composition of </w:t>
      </w:r>
      <w:r w:rsidR="00C92EF1" w:rsidRPr="006D630B">
        <w:rPr>
          <w:rFonts w:cs="Arial"/>
        </w:rPr>
        <w:t>GOS</w:t>
      </w:r>
      <w:r w:rsidRPr="006D630B">
        <w:rPr>
          <w:rFonts w:cs="Arial"/>
        </w:rPr>
        <w:t xml:space="preserve"> mixtures</w:t>
      </w:r>
      <w:r w:rsidR="006D630B" w:rsidRPr="006D630B">
        <w:rPr>
          <w:rFonts w:cs="Arial"/>
        </w:rPr>
        <w:t xml:space="preserve">, which can include large proportions of </w:t>
      </w:r>
      <w:r w:rsidR="006D630B" w:rsidRPr="006D630B">
        <w:rPr>
          <w:lang w:bidi="ar-SA"/>
        </w:rPr>
        <w:t>non-GOS components,</w:t>
      </w:r>
      <w:r w:rsidRPr="006D630B">
        <w:rPr>
          <w:rFonts w:cs="Arial"/>
        </w:rPr>
        <w:t xml:space="preserve"> </w:t>
      </w:r>
      <w:r w:rsidR="006D630B" w:rsidRPr="006D630B">
        <w:rPr>
          <w:rFonts w:cs="Arial"/>
        </w:rPr>
        <w:t>is highly variable</w:t>
      </w:r>
      <w:r w:rsidR="006D630B">
        <w:rPr>
          <w:rFonts w:cs="Arial"/>
        </w:rPr>
        <w:t xml:space="preserve"> </w:t>
      </w:r>
      <w:r>
        <w:rPr>
          <w:rFonts w:cs="Arial"/>
        </w:rPr>
        <w:t>and this is likely to contribute to variability in physiological ef</w:t>
      </w:r>
      <w:r w:rsidR="001F224D">
        <w:rPr>
          <w:rFonts w:cs="Arial"/>
        </w:rPr>
        <w:t>fects reported in human trials.</w:t>
      </w:r>
    </w:p>
    <w:p w14:paraId="3FA9B663" w14:textId="77777777" w:rsidR="00C857AD" w:rsidRDefault="00C857AD" w:rsidP="00C857AD">
      <w:pPr>
        <w:rPr>
          <w:rFonts w:cs="Arial"/>
        </w:rPr>
      </w:pPr>
    </w:p>
    <w:p w14:paraId="6CC6BE37" w14:textId="6760E02E" w:rsidR="00C857AD" w:rsidRDefault="00C857AD" w:rsidP="00C857AD">
      <w:pPr>
        <w:rPr>
          <w:rFonts w:cs="Arial"/>
        </w:rPr>
      </w:pPr>
      <w:r>
        <w:rPr>
          <w:rFonts w:cs="Arial"/>
        </w:rPr>
        <w:t xml:space="preserve">Overall, the mean effect estimates show that </w:t>
      </w:r>
      <w:r w:rsidR="00C92EF1">
        <w:rPr>
          <w:rFonts w:cs="Arial"/>
        </w:rPr>
        <w:t>GOS</w:t>
      </w:r>
      <w:r>
        <w:rPr>
          <w:rFonts w:cs="Arial"/>
        </w:rPr>
        <w:t xml:space="preserve"> do not exert a beneficial effect on stool weight, total or LDL-cholesterol, or fasting blood glucose. All mean effect sizes for the relevant physiological outcomes were small (e.g. a decrease of ~0.1 mmol/L for the blood markers) and 95% confidence intervals spanned the null (i.e. zero effect). Although the mean effect sizes are small, the lower limits of the confidence intervals include a possible desirable outcome, meaning a beneficial effect cannot be excluded entirely. However, the likelihood of this is low because the results of future research would need to differ considerably from the current body of evidence to shift the mean effect size enough to show a clinically meaningful benefit. In general, as evidence ac</w:t>
      </w:r>
      <w:r>
        <w:rPr>
          <w:rFonts w:cs="Arial"/>
        </w:rPr>
        <w:lastRenderedPageBreak/>
        <w:t xml:space="preserve">crues, summary estimates of effect tend to be attenuated rather than increased (Strazzullo et al. 2009). </w:t>
      </w:r>
      <w:r>
        <w:rPr>
          <w:rFonts w:cs="Arial"/>
          <w:szCs w:val="22"/>
          <w:lang w:bidi="ar-SA"/>
        </w:rPr>
        <w:t>A summary of the strengths and limitations of our assessment is provided in T</w:t>
      </w:r>
      <w:r w:rsidR="00171B30">
        <w:rPr>
          <w:rFonts w:cs="Arial"/>
          <w:szCs w:val="22"/>
          <w:lang w:bidi="ar-SA"/>
        </w:rPr>
        <w:t xml:space="preserve">able </w:t>
      </w:r>
      <w:r w:rsidR="002131C1">
        <w:rPr>
          <w:rFonts w:cs="Arial"/>
          <w:szCs w:val="22"/>
          <w:lang w:bidi="ar-SA"/>
        </w:rPr>
        <w:t>6</w:t>
      </w:r>
      <w:r w:rsidR="00B57DAF">
        <w:rPr>
          <w:rFonts w:cs="Arial"/>
          <w:szCs w:val="22"/>
          <w:lang w:bidi="ar-SA"/>
        </w:rPr>
        <w:t xml:space="preserve"> (see Appendix Section 2.1</w:t>
      </w:r>
      <w:r>
        <w:rPr>
          <w:rFonts w:cs="Arial"/>
          <w:szCs w:val="22"/>
          <w:lang w:bidi="ar-SA"/>
        </w:rPr>
        <w:t>).</w:t>
      </w:r>
    </w:p>
    <w:p w14:paraId="1F7C4469" w14:textId="77777777" w:rsidR="00C857AD" w:rsidRDefault="00C857AD" w:rsidP="00C857AD">
      <w:pPr>
        <w:rPr>
          <w:rFonts w:cs="Arial"/>
        </w:rPr>
      </w:pPr>
    </w:p>
    <w:p w14:paraId="7D593081" w14:textId="76155920" w:rsidR="00C857AD" w:rsidRDefault="00C857AD" w:rsidP="00C857AD">
      <w:pPr>
        <w:rPr>
          <w:rFonts w:cs="Arial"/>
          <w:szCs w:val="22"/>
          <w:lang w:bidi="ar-SA"/>
        </w:rPr>
      </w:pPr>
      <w:r w:rsidRPr="008D35ED">
        <w:rPr>
          <w:lang w:bidi="ar-SA"/>
        </w:rPr>
        <w:t>We conclude</w:t>
      </w:r>
      <w:r>
        <w:rPr>
          <w:lang w:bidi="ar-SA"/>
        </w:rPr>
        <w:t xml:space="preserve">, based on the current body of evidence, </w:t>
      </w:r>
      <w:r w:rsidRPr="008D35ED">
        <w:rPr>
          <w:lang w:bidi="ar-SA"/>
        </w:rPr>
        <w:t>that</w:t>
      </w:r>
      <w:r>
        <w:rPr>
          <w:lang w:bidi="ar-SA"/>
        </w:rPr>
        <w:t xml:space="preserve"> </w:t>
      </w:r>
      <w:r w:rsidR="00C92EF1">
        <w:rPr>
          <w:lang w:bidi="ar-SA"/>
        </w:rPr>
        <w:t>GOS</w:t>
      </w:r>
      <w:r w:rsidRPr="008D35ED">
        <w:rPr>
          <w:lang w:bidi="ar-SA"/>
        </w:rPr>
        <w:t xml:space="preserve"> intake </w:t>
      </w:r>
      <w:r>
        <w:rPr>
          <w:lang w:bidi="ar-SA"/>
        </w:rPr>
        <w:t>does not exert clinically meaningful or beneficial effects on laxation, blood cholesterol, or blood glucose</w:t>
      </w:r>
      <w:r w:rsidRPr="00C1761C">
        <w:rPr>
          <w:rFonts w:cs="Arial"/>
          <w:szCs w:val="22"/>
          <w:lang w:bidi="ar-SA"/>
        </w:rPr>
        <w:t>.</w:t>
      </w:r>
      <w:r>
        <w:rPr>
          <w:rFonts w:cs="Arial"/>
          <w:szCs w:val="22"/>
          <w:lang w:bidi="ar-SA"/>
        </w:rPr>
        <w:t xml:space="preserve"> </w:t>
      </w:r>
      <w:r w:rsidR="00834208">
        <w:rPr>
          <w:rFonts w:cs="Arial"/>
          <w:szCs w:val="22"/>
          <w:lang w:bidi="ar-SA"/>
        </w:rPr>
        <w:t xml:space="preserve">This is consistent with international assessments by the US Food and Drug Administration and the UK Food Standards Agency. </w:t>
      </w:r>
      <w:r>
        <w:rPr>
          <w:rFonts w:cs="Arial"/>
          <w:szCs w:val="22"/>
          <w:lang w:bidi="ar-SA"/>
        </w:rPr>
        <w:t xml:space="preserve">The assessment of the evidence provides little reason to indicate that the consumption of </w:t>
      </w:r>
      <w:r w:rsidR="00C92EF1">
        <w:rPr>
          <w:rFonts w:cs="Arial"/>
          <w:szCs w:val="22"/>
          <w:lang w:bidi="ar-SA"/>
        </w:rPr>
        <w:t>GOS</w:t>
      </w:r>
      <w:r>
        <w:rPr>
          <w:rFonts w:cs="Arial"/>
          <w:szCs w:val="22"/>
          <w:lang w:bidi="ar-SA"/>
        </w:rPr>
        <w:t xml:space="preserve"> will have desirable effects on health, as judged by the three physiological outcomes that define dietary fibre in the Code</w:t>
      </w:r>
      <w:r w:rsidRPr="00C1761C">
        <w:rPr>
          <w:rFonts w:cs="Arial"/>
          <w:szCs w:val="22"/>
          <w:lang w:bidi="ar-SA"/>
        </w:rPr>
        <w:t>. T</w:t>
      </w:r>
      <w:r>
        <w:rPr>
          <w:rFonts w:cs="Arial"/>
          <w:szCs w:val="22"/>
          <w:lang w:bidi="ar-SA"/>
        </w:rPr>
        <w:t>hus, t</w:t>
      </w:r>
      <w:r w:rsidRPr="00C1761C">
        <w:rPr>
          <w:lang w:bidi="ar-SA"/>
        </w:rPr>
        <w:t xml:space="preserve">hese carbohydrates </w:t>
      </w:r>
      <w:r>
        <w:rPr>
          <w:lang w:bidi="ar-SA"/>
        </w:rPr>
        <w:t>do not meet any of the three beneficial physiological effects listed in the Code’s of dietary fibre.</w:t>
      </w:r>
    </w:p>
    <w:p w14:paraId="560E0D0E" w14:textId="133655C7" w:rsidR="00C857AD" w:rsidRDefault="00C857AD" w:rsidP="00C857AD">
      <w:pPr>
        <w:rPr>
          <w:lang w:bidi="ar-SA"/>
        </w:rPr>
      </w:pPr>
    </w:p>
    <w:p w14:paraId="56FAD572" w14:textId="77777777" w:rsidR="00092CDA" w:rsidRDefault="00092CDA" w:rsidP="00690206"/>
    <w:p w14:paraId="6FDB598B"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0995DAB" w14:textId="1E23AE5B" w:rsidR="001C373E" w:rsidRDefault="00326D85">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66868355" w:history="1">
        <w:r w:rsidR="001C373E" w:rsidRPr="00D95B42">
          <w:rPr>
            <w:rStyle w:val="Hyperlink"/>
            <w:noProof/>
          </w:rPr>
          <w:t>Executive summary</w:t>
        </w:r>
        <w:r w:rsidR="001C373E">
          <w:rPr>
            <w:noProof/>
            <w:webHidden/>
          </w:rPr>
          <w:tab/>
        </w:r>
        <w:r w:rsidR="001C373E">
          <w:rPr>
            <w:noProof/>
            <w:webHidden/>
          </w:rPr>
          <w:fldChar w:fldCharType="begin"/>
        </w:r>
        <w:r w:rsidR="001C373E">
          <w:rPr>
            <w:noProof/>
            <w:webHidden/>
          </w:rPr>
          <w:instrText xml:space="preserve"> PAGEREF _Toc66868355 \h </w:instrText>
        </w:r>
        <w:r w:rsidR="001C373E">
          <w:rPr>
            <w:noProof/>
            <w:webHidden/>
          </w:rPr>
        </w:r>
        <w:r w:rsidR="001C373E">
          <w:rPr>
            <w:noProof/>
            <w:webHidden/>
          </w:rPr>
          <w:fldChar w:fldCharType="separate"/>
        </w:r>
        <w:r w:rsidR="001C373E">
          <w:rPr>
            <w:noProof/>
            <w:webHidden/>
          </w:rPr>
          <w:t>i</w:t>
        </w:r>
        <w:r w:rsidR="001C373E">
          <w:rPr>
            <w:noProof/>
            <w:webHidden/>
          </w:rPr>
          <w:fldChar w:fldCharType="end"/>
        </w:r>
      </w:hyperlink>
    </w:p>
    <w:p w14:paraId="06AB3F71" w14:textId="30D708E5" w:rsidR="001C373E" w:rsidRDefault="00C342D7">
      <w:pPr>
        <w:pStyle w:val="TOC1"/>
        <w:tabs>
          <w:tab w:val="left" w:pos="660"/>
        </w:tabs>
        <w:rPr>
          <w:rFonts w:eastAsiaTheme="minorEastAsia" w:cstheme="minorBidi"/>
          <w:b w:val="0"/>
          <w:bCs w:val="0"/>
          <w:caps w:val="0"/>
          <w:noProof/>
          <w:sz w:val="22"/>
          <w:szCs w:val="22"/>
          <w:lang w:eastAsia="en-GB" w:bidi="ar-SA"/>
        </w:rPr>
      </w:pPr>
      <w:hyperlink w:anchor="_Toc66868356" w:history="1">
        <w:r w:rsidR="001C373E" w:rsidRPr="00D95B42">
          <w:rPr>
            <w:rStyle w:val="Hyperlink"/>
            <w:noProof/>
          </w:rPr>
          <w:t>1.1</w:t>
        </w:r>
        <w:r w:rsidR="001C373E">
          <w:rPr>
            <w:rFonts w:eastAsiaTheme="minorEastAsia" w:cstheme="minorBidi"/>
            <w:b w:val="0"/>
            <w:bCs w:val="0"/>
            <w:caps w:val="0"/>
            <w:noProof/>
            <w:sz w:val="22"/>
            <w:szCs w:val="22"/>
            <w:lang w:eastAsia="en-GB" w:bidi="ar-SA"/>
          </w:rPr>
          <w:tab/>
        </w:r>
        <w:r w:rsidR="001C373E" w:rsidRPr="00D95B42">
          <w:rPr>
            <w:rStyle w:val="Hyperlink"/>
            <w:noProof/>
          </w:rPr>
          <w:t>Scope of the assessment: rationale and limitations</w:t>
        </w:r>
        <w:r w:rsidR="001C373E">
          <w:rPr>
            <w:noProof/>
            <w:webHidden/>
          </w:rPr>
          <w:tab/>
        </w:r>
        <w:r w:rsidR="001C373E">
          <w:rPr>
            <w:noProof/>
            <w:webHidden/>
          </w:rPr>
          <w:fldChar w:fldCharType="begin"/>
        </w:r>
        <w:r w:rsidR="001C373E">
          <w:rPr>
            <w:noProof/>
            <w:webHidden/>
          </w:rPr>
          <w:instrText xml:space="preserve"> PAGEREF _Toc66868356 \h </w:instrText>
        </w:r>
        <w:r w:rsidR="001C373E">
          <w:rPr>
            <w:noProof/>
            <w:webHidden/>
          </w:rPr>
        </w:r>
        <w:r w:rsidR="001C373E">
          <w:rPr>
            <w:noProof/>
            <w:webHidden/>
          </w:rPr>
          <w:fldChar w:fldCharType="separate"/>
        </w:r>
        <w:r w:rsidR="001C373E">
          <w:rPr>
            <w:noProof/>
            <w:webHidden/>
          </w:rPr>
          <w:t>5</w:t>
        </w:r>
        <w:r w:rsidR="001C373E">
          <w:rPr>
            <w:noProof/>
            <w:webHidden/>
          </w:rPr>
          <w:fldChar w:fldCharType="end"/>
        </w:r>
      </w:hyperlink>
    </w:p>
    <w:p w14:paraId="72AD8F1D" w14:textId="16486CB9" w:rsidR="001C373E" w:rsidRDefault="00C342D7">
      <w:pPr>
        <w:pStyle w:val="TOC1"/>
        <w:rPr>
          <w:rFonts w:eastAsiaTheme="minorEastAsia" w:cstheme="minorBidi"/>
          <w:b w:val="0"/>
          <w:bCs w:val="0"/>
          <w:caps w:val="0"/>
          <w:noProof/>
          <w:sz w:val="22"/>
          <w:szCs w:val="22"/>
          <w:lang w:eastAsia="en-GB" w:bidi="ar-SA"/>
        </w:rPr>
      </w:pPr>
      <w:hyperlink w:anchor="_Toc66868357" w:history="1">
        <w:r w:rsidR="001C373E" w:rsidRPr="00D95B42">
          <w:rPr>
            <w:rStyle w:val="Hyperlink"/>
            <w:noProof/>
          </w:rPr>
          <w:t>1.2 Laxation</w:t>
        </w:r>
        <w:r w:rsidR="001C373E">
          <w:rPr>
            <w:noProof/>
            <w:webHidden/>
          </w:rPr>
          <w:tab/>
        </w:r>
        <w:r w:rsidR="001C373E">
          <w:rPr>
            <w:noProof/>
            <w:webHidden/>
          </w:rPr>
          <w:fldChar w:fldCharType="begin"/>
        </w:r>
        <w:r w:rsidR="001C373E">
          <w:rPr>
            <w:noProof/>
            <w:webHidden/>
          </w:rPr>
          <w:instrText xml:space="preserve"> PAGEREF _Toc66868357 \h </w:instrText>
        </w:r>
        <w:r w:rsidR="001C373E">
          <w:rPr>
            <w:noProof/>
            <w:webHidden/>
          </w:rPr>
        </w:r>
        <w:r w:rsidR="001C373E">
          <w:rPr>
            <w:noProof/>
            <w:webHidden/>
          </w:rPr>
          <w:fldChar w:fldCharType="separate"/>
        </w:r>
        <w:r w:rsidR="001C373E">
          <w:rPr>
            <w:noProof/>
            <w:webHidden/>
          </w:rPr>
          <w:t>6</w:t>
        </w:r>
        <w:r w:rsidR="001C373E">
          <w:rPr>
            <w:noProof/>
            <w:webHidden/>
          </w:rPr>
          <w:fldChar w:fldCharType="end"/>
        </w:r>
      </w:hyperlink>
    </w:p>
    <w:p w14:paraId="07584D2A" w14:textId="732DCA92"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58" w:history="1">
        <w:r w:rsidR="001C373E" w:rsidRPr="00D95B42">
          <w:rPr>
            <w:rStyle w:val="Hyperlink"/>
            <w:noProof/>
          </w:rPr>
          <w:t>1.2.1 Assessment: background</w:t>
        </w:r>
        <w:r w:rsidR="001C373E">
          <w:rPr>
            <w:noProof/>
            <w:webHidden/>
          </w:rPr>
          <w:tab/>
        </w:r>
        <w:r w:rsidR="001C373E">
          <w:rPr>
            <w:noProof/>
            <w:webHidden/>
          </w:rPr>
          <w:fldChar w:fldCharType="begin"/>
        </w:r>
        <w:r w:rsidR="001C373E">
          <w:rPr>
            <w:noProof/>
            <w:webHidden/>
          </w:rPr>
          <w:instrText xml:space="preserve"> PAGEREF _Toc66868358 \h </w:instrText>
        </w:r>
        <w:r w:rsidR="001C373E">
          <w:rPr>
            <w:noProof/>
            <w:webHidden/>
          </w:rPr>
        </w:r>
        <w:r w:rsidR="001C373E">
          <w:rPr>
            <w:noProof/>
            <w:webHidden/>
          </w:rPr>
          <w:fldChar w:fldCharType="separate"/>
        </w:r>
        <w:r w:rsidR="001C373E">
          <w:rPr>
            <w:noProof/>
            <w:webHidden/>
          </w:rPr>
          <w:t>6</w:t>
        </w:r>
        <w:r w:rsidR="001C373E">
          <w:rPr>
            <w:noProof/>
            <w:webHidden/>
          </w:rPr>
          <w:fldChar w:fldCharType="end"/>
        </w:r>
      </w:hyperlink>
    </w:p>
    <w:p w14:paraId="61950106" w14:textId="61D32105"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59" w:history="1">
        <w:r w:rsidR="001C373E" w:rsidRPr="00D95B42">
          <w:rPr>
            <w:rStyle w:val="Hyperlink"/>
            <w:noProof/>
          </w:rPr>
          <w:t>1.2.2 Assessment: results</w:t>
        </w:r>
        <w:r w:rsidR="001C373E">
          <w:rPr>
            <w:noProof/>
            <w:webHidden/>
          </w:rPr>
          <w:tab/>
        </w:r>
        <w:r w:rsidR="001C373E">
          <w:rPr>
            <w:noProof/>
            <w:webHidden/>
          </w:rPr>
          <w:fldChar w:fldCharType="begin"/>
        </w:r>
        <w:r w:rsidR="001C373E">
          <w:rPr>
            <w:noProof/>
            <w:webHidden/>
          </w:rPr>
          <w:instrText xml:space="preserve"> PAGEREF _Toc66868359 \h </w:instrText>
        </w:r>
        <w:r w:rsidR="001C373E">
          <w:rPr>
            <w:noProof/>
            <w:webHidden/>
          </w:rPr>
        </w:r>
        <w:r w:rsidR="001C373E">
          <w:rPr>
            <w:noProof/>
            <w:webHidden/>
          </w:rPr>
          <w:fldChar w:fldCharType="separate"/>
        </w:r>
        <w:r w:rsidR="001C373E">
          <w:rPr>
            <w:noProof/>
            <w:webHidden/>
          </w:rPr>
          <w:t>7</w:t>
        </w:r>
        <w:r w:rsidR="001C373E">
          <w:rPr>
            <w:noProof/>
            <w:webHidden/>
          </w:rPr>
          <w:fldChar w:fldCharType="end"/>
        </w:r>
      </w:hyperlink>
    </w:p>
    <w:p w14:paraId="2C5528EF" w14:textId="68E053C7" w:rsidR="001C373E" w:rsidRDefault="00C342D7">
      <w:pPr>
        <w:pStyle w:val="TOC1"/>
        <w:rPr>
          <w:rFonts w:eastAsiaTheme="minorEastAsia" w:cstheme="minorBidi"/>
          <w:b w:val="0"/>
          <w:bCs w:val="0"/>
          <w:caps w:val="0"/>
          <w:noProof/>
          <w:sz w:val="22"/>
          <w:szCs w:val="22"/>
          <w:lang w:eastAsia="en-GB" w:bidi="ar-SA"/>
        </w:rPr>
      </w:pPr>
      <w:hyperlink w:anchor="_Toc66868360" w:history="1">
        <w:r w:rsidR="001C373E" w:rsidRPr="00D95B42">
          <w:rPr>
            <w:rStyle w:val="Hyperlink"/>
            <w:noProof/>
          </w:rPr>
          <w:t>1.3 Reduction in blood cholesterol</w:t>
        </w:r>
        <w:r w:rsidR="001C373E">
          <w:rPr>
            <w:noProof/>
            <w:webHidden/>
          </w:rPr>
          <w:tab/>
        </w:r>
        <w:r w:rsidR="001C373E">
          <w:rPr>
            <w:noProof/>
            <w:webHidden/>
          </w:rPr>
          <w:fldChar w:fldCharType="begin"/>
        </w:r>
        <w:r w:rsidR="001C373E">
          <w:rPr>
            <w:noProof/>
            <w:webHidden/>
          </w:rPr>
          <w:instrText xml:space="preserve"> PAGEREF _Toc66868360 \h </w:instrText>
        </w:r>
        <w:r w:rsidR="001C373E">
          <w:rPr>
            <w:noProof/>
            <w:webHidden/>
          </w:rPr>
        </w:r>
        <w:r w:rsidR="001C373E">
          <w:rPr>
            <w:noProof/>
            <w:webHidden/>
          </w:rPr>
          <w:fldChar w:fldCharType="separate"/>
        </w:r>
        <w:r w:rsidR="001C373E">
          <w:rPr>
            <w:noProof/>
            <w:webHidden/>
          </w:rPr>
          <w:t>11</w:t>
        </w:r>
        <w:r w:rsidR="001C373E">
          <w:rPr>
            <w:noProof/>
            <w:webHidden/>
          </w:rPr>
          <w:fldChar w:fldCharType="end"/>
        </w:r>
      </w:hyperlink>
    </w:p>
    <w:p w14:paraId="5A1025ED" w14:textId="693802A3"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61" w:history="1">
        <w:r w:rsidR="001C373E" w:rsidRPr="00D95B42">
          <w:rPr>
            <w:rStyle w:val="Hyperlink"/>
            <w:noProof/>
          </w:rPr>
          <w:t>1.3.1 Assessment: results</w:t>
        </w:r>
        <w:r w:rsidR="001C373E">
          <w:rPr>
            <w:noProof/>
            <w:webHidden/>
          </w:rPr>
          <w:tab/>
        </w:r>
        <w:r w:rsidR="001C373E">
          <w:rPr>
            <w:noProof/>
            <w:webHidden/>
          </w:rPr>
          <w:fldChar w:fldCharType="begin"/>
        </w:r>
        <w:r w:rsidR="001C373E">
          <w:rPr>
            <w:noProof/>
            <w:webHidden/>
          </w:rPr>
          <w:instrText xml:space="preserve"> PAGEREF _Toc66868361 \h </w:instrText>
        </w:r>
        <w:r w:rsidR="001C373E">
          <w:rPr>
            <w:noProof/>
            <w:webHidden/>
          </w:rPr>
        </w:r>
        <w:r w:rsidR="001C373E">
          <w:rPr>
            <w:noProof/>
            <w:webHidden/>
          </w:rPr>
          <w:fldChar w:fldCharType="separate"/>
        </w:r>
        <w:r w:rsidR="001C373E">
          <w:rPr>
            <w:noProof/>
            <w:webHidden/>
          </w:rPr>
          <w:t>11</w:t>
        </w:r>
        <w:r w:rsidR="001C373E">
          <w:rPr>
            <w:noProof/>
            <w:webHidden/>
          </w:rPr>
          <w:fldChar w:fldCharType="end"/>
        </w:r>
      </w:hyperlink>
    </w:p>
    <w:p w14:paraId="388BCB6A" w14:textId="53848E98" w:rsidR="001C373E" w:rsidRDefault="00C342D7">
      <w:pPr>
        <w:pStyle w:val="TOC1"/>
        <w:rPr>
          <w:rFonts w:eastAsiaTheme="minorEastAsia" w:cstheme="minorBidi"/>
          <w:b w:val="0"/>
          <w:bCs w:val="0"/>
          <w:caps w:val="0"/>
          <w:noProof/>
          <w:sz w:val="22"/>
          <w:szCs w:val="22"/>
          <w:lang w:eastAsia="en-GB" w:bidi="ar-SA"/>
        </w:rPr>
      </w:pPr>
      <w:hyperlink w:anchor="_Toc66868362" w:history="1">
        <w:r w:rsidR="001C373E" w:rsidRPr="00D95B42">
          <w:rPr>
            <w:rStyle w:val="Hyperlink"/>
            <w:noProof/>
          </w:rPr>
          <w:t>1.4 Modulation of blood glucose</w:t>
        </w:r>
        <w:r w:rsidR="001C373E">
          <w:rPr>
            <w:noProof/>
            <w:webHidden/>
          </w:rPr>
          <w:tab/>
        </w:r>
        <w:r w:rsidR="001C373E">
          <w:rPr>
            <w:noProof/>
            <w:webHidden/>
          </w:rPr>
          <w:fldChar w:fldCharType="begin"/>
        </w:r>
        <w:r w:rsidR="001C373E">
          <w:rPr>
            <w:noProof/>
            <w:webHidden/>
          </w:rPr>
          <w:instrText xml:space="preserve"> PAGEREF _Toc66868362 \h </w:instrText>
        </w:r>
        <w:r w:rsidR="001C373E">
          <w:rPr>
            <w:noProof/>
            <w:webHidden/>
          </w:rPr>
        </w:r>
        <w:r w:rsidR="001C373E">
          <w:rPr>
            <w:noProof/>
            <w:webHidden/>
          </w:rPr>
          <w:fldChar w:fldCharType="separate"/>
        </w:r>
        <w:r w:rsidR="001C373E">
          <w:rPr>
            <w:noProof/>
            <w:webHidden/>
          </w:rPr>
          <w:t>17</w:t>
        </w:r>
        <w:r w:rsidR="001C373E">
          <w:rPr>
            <w:noProof/>
            <w:webHidden/>
          </w:rPr>
          <w:fldChar w:fldCharType="end"/>
        </w:r>
      </w:hyperlink>
    </w:p>
    <w:p w14:paraId="660784F0" w14:textId="4547E67A"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63" w:history="1">
        <w:r w:rsidR="001C373E" w:rsidRPr="00D95B42">
          <w:rPr>
            <w:rStyle w:val="Hyperlink"/>
            <w:noProof/>
          </w:rPr>
          <w:t>1.4.1 Assessment: results</w:t>
        </w:r>
        <w:r w:rsidR="001C373E">
          <w:rPr>
            <w:noProof/>
            <w:webHidden/>
          </w:rPr>
          <w:tab/>
        </w:r>
        <w:r w:rsidR="001C373E">
          <w:rPr>
            <w:noProof/>
            <w:webHidden/>
          </w:rPr>
          <w:fldChar w:fldCharType="begin"/>
        </w:r>
        <w:r w:rsidR="001C373E">
          <w:rPr>
            <w:noProof/>
            <w:webHidden/>
          </w:rPr>
          <w:instrText xml:space="preserve"> PAGEREF _Toc66868363 \h </w:instrText>
        </w:r>
        <w:r w:rsidR="001C373E">
          <w:rPr>
            <w:noProof/>
            <w:webHidden/>
          </w:rPr>
        </w:r>
        <w:r w:rsidR="001C373E">
          <w:rPr>
            <w:noProof/>
            <w:webHidden/>
          </w:rPr>
          <w:fldChar w:fldCharType="separate"/>
        </w:r>
        <w:r w:rsidR="001C373E">
          <w:rPr>
            <w:noProof/>
            <w:webHidden/>
          </w:rPr>
          <w:t>17</w:t>
        </w:r>
        <w:r w:rsidR="001C373E">
          <w:rPr>
            <w:noProof/>
            <w:webHidden/>
          </w:rPr>
          <w:fldChar w:fldCharType="end"/>
        </w:r>
      </w:hyperlink>
    </w:p>
    <w:p w14:paraId="4983C673" w14:textId="0606F8DD" w:rsidR="001C373E" w:rsidRDefault="00C342D7">
      <w:pPr>
        <w:pStyle w:val="TOC1"/>
        <w:rPr>
          <w:rFonts w:eastAsiaTheme="minorEastAsia" w:cstheme="minorBidi"/>
          <w:b w:val="0"/>
          <w:bCs w:val="0"/>
          <w:caps w:val="0"/>
          <w:noProof/>
          <w:sz w:val="22"/>
          <w:szCs w:val="22"/>
          <w:lang w:eastAsia="en-GB" w:bidi="ar-SA"/>
        </w:rPr>
      </w:pPr>
      <w:hyperlink w:anchor="_Toc66868364" w:history="1">
        <w:r w:rsidR="001C373E" w:rsidRPr="00D95B42">
          <w:rPr>
            <w:rStyle w:val="Hyperlink"/>
            <w:noProof/>
          </w:rPr>
          <w:t>References</w:t>
        </w:r>
        <w:r w:rsidR="001C373E">
          <w:rPr>
            <w:noProof/>
            <w:webHidden/>
          </w:rPr>
          <w:tab/>
        </w:r>
        <w:r w:rsidR="001C373E">
          <w:rPr>
            <w:noProof/>
            <w:webHidden/>
          </w:rPr>
          <w:fldChar w:fldCharType="begin"/>
        </w:r>
        <w:r w:rsidR="001C373E">
          <w:rPr>
            <w:noProof/>
            <w:webHidden/>
          </w:rPr>
          <w:instrText xml:space="preserve"> PAGEREF _Toc66868364 \h </w:instrText>
        </w:r>
        <w:r w:rsidR="001C373E">
          <w:rPr>
            <w:noProof/>
            <w:webHidden/>
          </w:rPr>
        </w:r>
        <w:r w:rsidR="001C373E">
          <w:rPr>
            <w:noProof/>
            <w:webHidden/>
          </w:rPr>
          <w:fldChar w:fldCharType="separate"/>
        </w:r>
        <w:r w:rsidR="001C373E">
          <w:rPr>
            <w:noProof/>
            <w:webHidden/>
          </w:rPr>
          <w:t>23</w:t>
        </w:r>
        <w:r w:rsidR="001C373E">
          <w:rPr>
            <w:noProof/>
            <w:webHidden/>
          </w:rPr>
          <w:fldChar w:fldCharType="end"/>
        </w:r>
      </w:hyperlink>
    </w:p>
    <w:p w14:paraId="5F610CC2" w14:textId="7725BFCC" w:rsidR="001C373E" w:rsidRDefault="00C342D7">
      <w:pPr>
        <w:pStyle w:val="TOC1"/>
        <w:rPr>
          <w:rFonts w:eastAsiaTheme="minorEastAsia" w:cstheme="minorBidi"/>
          <w:b w:val="0"/>
          <w:bCs w:val="0"/>
          <w:caps w:val="0"/>
          <w:noProof/>
          <w:sz w:val="22"/>
          <w:szCs w:val="22"/>
          <w:lang w:eastAsia="en-GB" w:bidi="ar-SA"/>
        </w:rPr>
      </w:pPr>
      <w:hyperlink w:anchor="_Toc66868365" w:history="1">
        <w:r w:rsidR="001C373E" w:rsidRPr="00D95B42">
          <w:rPr>
            <w:rStyle w:val="Hyperlink"/>
            <w:noProof/>
          </w:rPr>
          <w:t>Appendix</w:t>
        </w:r>
        <w:r w:rsidR="001C373E">
          <w:rPr>
            <w:noProof/>
            <w:webHidden/>
          </w:rPr>
          <w:tab/>
        </w:r>
        <w:r w:rsidR="001C373E">
          <w:rPr>
            <w:noProof/>
            <w:webHidden/>
          </w:rPr>
          <w:fldChar w:fldCharType="begin"/>
        </w:r>
        <w:r w:rsidR="001C373E">
          <w:rPr>
            <w:noProof/>
            <w:webHidden/>
          </w:rPr>
          <w:instrText xml:space="preserve"> PAGEREF _Toc66868365 \h </w:instrText>
        </w:r>
        <w:r w:rsidR="001C373E">
          <w:rPr>
            <w:noProof/>
            <w:webHidden/>
          </w:rPr>
        </w:r>
        <w:r w:rsidR="001C373E">
          <w:rPr>
            <w:noProof/>
            <w:webHidden/>
          </w:rPr>
          <w:fldChar w:fldCharType="separate"/>
        </w:r>
        <w:r w:rsidR="001C373E">
          <w:rPr>
            <w:noProof/>
            <w:webHidden/>
          </w:rPr>
          <w:t>27</w:t>
        </w:r>
        <w:r w:rsidR="001C373E">
          <w:rPr>
            <w:noProof/>
            <w:webHidden/>
          </w:rPr>
          <w:fldChar w:fldCharType="end"/>
        </w:r>
      </w:hyperlink>
    </w:p>
    <w:p w14:paraId="2933464B" w14:textId="3CAF65B0"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66" w:history="1">
        <w:r w:rsidR="001C373E" w:rsidRPr="00D95B42">
          <w:rPr>
            <w:rStyle w:val="Hyperlink"/>
            <w:noProof/>
          </w:rPr>
          <w:t>2.1 Summary of meta-analyses’ results, and our assessment’s strengths and limitations</w:t>
        </w:r>
        <w:r w:rsidR="001C373E">
          <w:rPr>
            <w:noProof/>
            <w:webHidden/>
          </w:rPr>
          <w:tab/>
        </w:r>
        <w:r w:rsidR="001C373E">
          <w:rPr>
            <w:noProof/>
            <w:webHidden/>
          </w:rPr>
          <w:fldChar w:fldCharType="begin"/>
        </w:r>
        <w:r w:rsidR="001C373E">
          <w:rPr>
            <w:noProof/>
            <w:webHidden/>
          </w:rPr>
          <w:instrText xml:space="preserve"> PAGEREF _Toc66868366 \h </w:instrText>
        </w:r>
        <w:r w:rsidR="001C373E">
          <w:rPr>
            <w:noProof/>
            <w:webHidden/>
          </w:rPr>
        </w:r>
        <w:r w:rsidR="001C373E">
          <w:rPr>
            <w:noProof/>
            <w:webHidden/>
          </w:rPr>
          <w:fldChar w:fldCharType="separate"/>
        </w:r>
        <w:r w:rsidR="001C373E">
          <w:rPr>
            <w:noProof/>
            <w:webHidden/>
          </w:rPr>
          <w:t>27</w:t>
        </w:r>
        <w:r w:rsidR="001C373E">
          <w:rPr>
            <w:noProof/>
            <w:webHidden/>
          </w:rPr>
          <w:fldChar w:fldCharType="end"/>
        </w:r>
      </w:hyperlink>
    </w:p>
    <w:p w14:paraId="2F1C8097" w14:textId="2A3E51F4"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67" w:history="1">
        <w:r w:rsidR="001C373E" w:rsidRPr="00D95B42">
          <w:rPr>
            <w:rStyle w:val="Hyperlink"/>
            <w:noProof/>
          </w:rPr>
          <w:t>2.2.1 Laxation: review methodology and results</w:t>
        </w:r>
        <w:r w:rsidR="001C373E">
          <w:rPr>
            <w:noProof/>
            <w:webHidden/>
          </w:rPr>
          <w:tab/>
        </w:r>
        <w:r w:rsidR="001C373E">
          <w:rPr>
            <w:noProof/>
            <w:webHidden/>
          </w:rPr>
          <w:fldChar w:fldCharType="begin"/>
        </w:r>
        <w:r w:rsidR="001C373E">
          <w:rPr>
            <w:noProof/>
            <w:webHidden/>
          </w:rPr>
          <w:instrText xml:space="preserve"> PAGEREF _Toc66868367 \h </w:instrText>
        </w:r>
        <w:r w:rsidR="001C373E">
          <w:rPr>
            <w:noProof/>
            <w:webHidden/>
          </w:rPr>
        </w:r>
        <w:r w:rsidR="001C373E">
          <w:rPr>
            <w:noProof/>
            <w:webHidden/>
          </w:rPr>
          <w:fldChar w:fldCharType="separate"/>
        </w:r>
        <w:r w:rsidR="001C373E">
          <w:rPr>
            <w:noProof/>
            <w:webHidden/>
          </w:rPr>
          <w:t>28</w:t>
        </w:r>
        <w:r w:rsidR="001C373E">
          <w:rPr>
            <w:noProof/>
            <w:webHidden/>
          </w:rPr>
          <w:fldChar w:fldCharType="end"/>
        </w:r>
      </w:hyperlink>
    </w:p>
    <w:p w14:paraId="737DF66C" w14:textId="0D97B1E5"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68" w:history="1">
        <w:r w:rsidR="001C373E" w:rsidRPr="00D95B42">
          <w:rPr>
            <w:rStyle w:val="Hyperlink"/>
            <w:noProof/>
          </w:rPr>
          <w:t>2.2.2 Laxation: included studies’ methodology and results</w:t>
        </w:r>
        <w:r w:rsidR="001C373E">
          <w:rPr>
            <w:noProof/>
            <w:webHidden/>
          </w:rPr>
          <w:tab/>
        </w:r>
        <w:r w:rsidR="001C373E">
          <w:rPr>
            <w:noProof/>
            <w:webHidden/>
          </w:rPr>
          <w:fldChar w:fldCharType="begin"/>
        </w:r>
        <w:r w:rsidR="001C373E">
          <w:rPr>
            <w:noProof/>
            <w:webHidden/>
          </w:rPr>
          <w:instrText xml:space="preserve"> PAGEREF _Toc66868368 \h </w:instrText>
        </w:r>
        <w:r w:rsidR="001C373E">
          <w:rPr>
            <w:noProof/>
            <w:webHidden/>
          </w:rPr>
        </w:r>
        <w:r w:rsidR="001C373E">
          <w:rPr>
            <w:noProof/>
            <w:webHidden/>
          </w:rPr>
          <w:fldChar w:fldCharType="separate"/>
        </w:r>
        <w:r w:rsidR="001C373E">
          <w:rPr>
            <w:noProof/>
            <w:webHidden/>
          </w:rPr>
          <w:t>28</w:t>
        </w:r>
        <w:r w:rsidR="001C373E">
          <w:rPr>
            <w:noProof/>
            <w:webHidden/>
          </w:rPr>
          <w:fldChar w:fldCharType="end"/>
        </w:r>
      </w:hyperlink>
    </w:p>
    <w:p w14:paraId="426377B5" w14:textId="3B4F2703"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69" w:history="1">
        <w:r w:rsidR="001C373E" w:rsidRPr="00D95B42">
          <w:rPr>
            <w:rStyle w:val="Hyperlink"/>
            <w:noProof/>
          </w:rPr>
          <w:t>2.3.1 Blood cholesterol: review methodology and results</w:t>
        </w:r>
        <w:r w:rsidR="001C373E">
          <w:rPr>
            <w:noProof/>
            <w:webHidden/>
          </w:rPr>
          <w:tab/>
        </w:r>
        <w:r w:rsidR="001C373E">
          <w:rPr>
            <w:noProof/>
            <w:webHidden/>
          </w:rPr>
          <w:fldChar w:fldCharType="begin"/>
        </w:r>
        <w:r w:rsidR="001C373E">
          <w:rPr>
            <w:noProof/>
            <w:webHidden/>
          </w:rPr>
          <w:instrText xml:space="preserve"> PAGEREF _Toc66868369 \h </w:instrText>
        </w:r>
        <w:r w:rsidR="001C373E">
          <w:rPr>
            <w:noProof/>
            <w:webHidden/>
          </w:rPr>
        </w:r>
        <w:r w:rsidR="001C373E">
          <w:rPr>
            <w:noProof/>
            <w:webHidden/>
          </w:rPr>
          <w:fldChar w:fldCharType="separate"/>
        </w:r>
        <w:r w:rsidR="001C373E">
          <w:rPr>
            <w:noProof/>
            <w:webHidden/>
          </w:rPr>
          <w:t>31</w:t>
        </w:r>
        <w:r w:rsidR="001C373E">
          <w:rPr>
            <w:noProof/>
            <w:webHidden/>
          </w:rPr>
          <w:fldChar w:fldCharType="end"/>
        </w:r>
      </w:hyperlink>
    </w:p>
    <w:p w14:paraId="7CF438EF" w14:textId="7C9088F9"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70" w:history="1">
        <w:r w:rsidR="001C373E" w:rsidRPr="00D95B42">
          <w:rPr>
            <w:rStyle w:val="Hyperlink"/>
            <w:noProof/>
          </w:rPr>
          <w:t>2.3.2 Blood cholesterol: included studies’ methodology and results</w:t>
        </w:r>
        <w:r w:rsidR="001C373E">
          <w:rPr>
            <w:noProof/>
            <w:webHidden/>
          </w:rPr>
          <w:tab/>
        </w:r>
        <w:r w:rsidR="001C373E">
          <w:rPr>
            <w:noProof/>
            <w:webHidden/>
          </w:rPr>
          <w:fldChar w:fldCharType="begin"/>
        </w:r>
        <w:r w:rsidR="001C373E">
          <w:rPr>
            <w:noProof/>
            <w:webHidden/>
          </w:rPr>
          <w:instrText xml:space="preserve"> PAGEREF _Toc66868370 \h </w:instrText>
        </w:r>
        <w:r w:rsidR="001C373E">
          <w:rPr>
            <w:noProof/>
            <w:webHidden/>
          </w:rPr>
        </w:r>
        <w:r w:rsidR="001C373E">
          <w:rPr>
            <w:noProof/>
            <w:webHidden/>
          </w:rPr>
          <w:fldChar w:fldCharType="separate"/>
        </w:r>
        <w:r w:rsidR="001C373E">
          <w:rPr>
            <w:noProof/>
            <w:webHidden/>
          </w:rPr>
          <w:t>31</w:t>
        </w:r>
        <w:r w:rsidR="001C373E">
          <w:rPr>
            <w:noProof/>
            <w:webHidden/>
          </w:rPr>
          <w:fldChar w:fldCharType="end"/>
        </w:r>
      </w:hyperlink>
    </w:p>
    <w:p w14:paraId="40393564" w14:textId="1278A23B"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71" w:history="1">
        <w:r w:rsidR="001C373E" w:rsidRPr="00D95B42">
          <w:rPr>
            <w:rStyle w:val="Hyperlink"/>
            <w:noProof/>
          </w:rPr>
          <w:t>2.4.1 Blood glucose: review methodology and results</w:t>
        </w:r>
        <w:r w:rsidR="001C373E">
          <w:rPr>
            <w:noProof/>
            <w:webHidden/>
          </w:rPr>
          <w:tab/>
        </w:r>
        <w:r w:rsidR="001C373E">
          <w:rPr>
            <w:noProof/>
            <w:webHidden/>
          </w:rPr>
          <w:fldChar w:fldCharType="begin"/>
        </w:r>
        <w:r w:rsidR="001C373E">
          <w:rPr>
            <w:noProof/>
            <w:webHidden/>
          </w:rPr>
          <w:instrText xml:space="preserve"> PAGEREF _Toc66868371 \h </w:instrText>
        </w:r>
        <w:r w:rsidR="001C373E">
          <w:rPr>
            <w:noProof/>
            <w:webHidden/>
          </w:rPr>
        </w:r>
        <w:r w:rsidR="001C373E">
          <w:rPr>
            <w:noProof/>
            <w:webHidden/>
          </w:rPr>
          <w:fldChar w:fldCharType="separate"/>
        </w:r>
        <w:r w:rsidR="001C373E">
          <w:rPr>
            <w:noProof/>
            <w:webHidden/>
          </w:rPr>
          <w:t>34</w:t>
        </w:r>
        <w:r w:rsidR="001C373E">
          <w:rPr>
            <w:noProof/>
            <w:webHidden/>
          </w:rPr>
          <w:fldChar w:fldCharType="end"/>
        </w:r>
      </w:hyperlink>
    </w:p>
    <w:p w14:paraId="6DC20DE0" w14:textId="3171B9F2"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72" w:history="1">
        <w:r w:rsidR="001C373E" w:rsidRPr="00D95B42">
          <w:rPr>
            <w:rStyle w:val="Hyperlink"/>
            <w:noProof/>
          </w:rPr>
          <w:t>2.4.2 Blood glucose: included studies’ methodology and results</w:t>
        </w:r>
        <w:r w:rsidR="001C373E">
          <w:rPr>
            <w:noProof/>
            <w:webHidden/>
          </w:rPr>
          <w:tab/>
        </w:r>
        <w:r w:rsidR="001C373E">
          <w:rPr>
            <w:noProof/>
            <w:webHidden/>
          </w:rPr>
          <w:fldChar w:fldCharType="begin"/>
        </w:r>
        <w:r w:rsidR="001C373E">
          <w:rPr>
            <w:noProof/>
            <w:webHidden/>
          </w:rPr>
          <w:instrText xml:space="preserve"> PAGEREF _Toc66868372 \h </w:instrText>
        </w:r>
        <w:r w:rsidR="001C373E">
          <w:rPr>
            <w:noProof/>
            <w:webHidden/>
          </w:rPr>
        </w:r>
        <w:r w:rsidR="001C373E">
          <w:rPr>
            <w:noProof/>
            <w:webHidden/>
          </w:rPr>
          <w:fldChar w:fldCharType="separate"/>
        </w:r>
        <w:r w:rsidR="001C373E">
          <w:rPr>
            <w:noProof/>
            <w:webHidden/>
          </w:rPr>
          <w:t>34</w:t>
        </w:r>
        <w:r w:rsidR="001C373E">
          <w:rPr>
            <w:noProof/>
            <w:webHidden/>
          </w:rPr>
          <w:fldChar w:fldCharType="end"/>
        </w:r>
      </w:hyperlink>
    </w:p>
    <w:p w14:paraId="489B2E54" w14:textId="5FDC7D31"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73" w:history="1">
        <w:r w:rsidR="001C373E" w:rsidRPr="00D95B42">
          <w:rPr>
            <w:rStyle w:val="Hyperlink"/>
            <w:noProof/>
          </w:rPr>
          <w:t>2.5 Industry involvement and characteristics of galacto-oligosaccharides used in selected studies</w:t>
        </w:r>
        <w:r w:rsidR="001C373E">
          <w:rPr>
            <w:noProof/>
            <w:webHidden/>
          </w:rPr>
          <w:tab/>
        </w:r>
        <w:r w:rsidR="001C373E">
          <w:rPr>
            <w:noProof/>
            <w:webHidden/>
          </w:rPr>
          <w:fldChar w:fldCharType="begin"/>
        </w:r>
        <w:r w:rsidR="001C373E">
          <w:rPr>
            <w:noProof/>
            <w:webHidden/>
          </w:rPr>
          <w:instrText xml:space="preserve"> PAGEREF _Toc66868373 \h </w:instrText>
        </w:r>
        <w:r w:rsidR="001C373E">
          <w:rPr>
            <w:noProof/>
            <w:webHidden/>
          </w:rPr>
        </w:r>
        <w:r w:rsidR="001C373E">
          <w:rPr>
            <w:noProof/>
            <w:webHidden/>
          </w:rPr>
          <w:fldChar w:fldCharType="separate"/>
        </w:r>
        <w:r w:rsidR="001C373E">
          <w:rPr>
            <w:noProof/>
            <w:webHidden/>
          </w:rPr>
          <w:t>36</w:t>
        </w:r>
        <w:r w:rsidR="001C373E">
          <w:rPr>
            <w:noProof/>
            <w:webHidden/>
          </w:rPr>
          <w:fldChar w:fldCharType="end"/>
        </w:r>
      </w:hyperlink>
    </w:p>
    <w:p w14:paraId="044D3259" w14:textId="37746B6B" w:rsidR="001C373E" w:rsidRDefault="00C342D7">
      <w:pPr>
        <w:pStyle w:val="TOC2"/>
        <w:tabs>
          <w:tab w:val="right" w:leader="dot" w:pos="9060"/>
        </w:tabs>
        <w:rPr>
          <w:rFonts w:eastAsiaTheme="minorEastAsia" w:cstheme="minorBidi"/>
          <w:smallCaps w:val="0"/>
          <w:noProof/>
          <w:sz w:val="22"/>
          <w:szCs w:val="22"/>
          <w:lang w:eastAsia="en-GB" w:bidi="ar-SA"/>
        </w:rPr>
      </w:pPr>
      <w:hyperlink w:anchor="_Toc66868374" w:history="1">
        <w:r w:rsidR="001C373E" w:rsidRPr="00D95B42">
          <w:rPr>
            <w:rStyle w:val="Hyperlink"/>
            <w:noProof/>
          </w:rPr>
          <w:t>2.6 Review: data extraction, conversion, and analyses</w:t>
        </w:r>
        <w:r w:rsidR="001C373E">
          <w:rPr>
            <w:noProof/>
            <w:webHidden/>
          </w:rPr>
          <w:tab/>
        </w:r>
        <w:r w:rsidR="001C373E">
          <w:rPr>
            <w:noProof/>
            <w:webHidden/>
          </w:rPr>
          <w:fldChar w:fldCharType="begin"/>
        </w:r>
        <w:r w:rsidR="001C373E">
          <w:rPr>
            <w:noProof/>
            <w:webHidden/>
          </w:rPr>
          <w:instrText xml:space="preserve"> PAGEREF _Toc66868374 \h </w:instrText>
        </w:r>
        <w:r w:rsidR="001C373E">
          <w:rPr>
            <w:noProof/>
            <w:webHidden/>
          </w:rPr>
        </w:r>
        <w:r w:rsidR="001C373E">
          <w:rPr>
            <w:noProof/>
            <w:webHidden/>
          </w:rPr>
          <w:fldChar w:fldCharType="separate"/>
        </w:r>
        <w:r w:rsidR="001C373E">
          <w:rPr>
            <w:noProof/>
            <w:webHidden/>
          </w:rPr>
          <w:t>40</w:t>
        </w:r>
        <w:r w:rsidR="001C373E">
          <w:rPr>
            <w:noProof/>
            <w:webHidden/>
          </w:rPr>
          <w:fldChar w:fldCharType="end"/>
        </w:r>
      </w:hyperlink>
    </w:p>
    <w:p w14:paraId="26B82DC2" w14:textId="0AC487C6" w:rsidR="00562917" w:rsidRDefault="00326D85" w:rsidP="00051ED9">
      <w:r>
        <w:fldChar w:fldCharType="end"/>
      </w:r>
    </w:p>
    <w:p w14:paraId="02C0204E" w14:textId="77777777" w:rsidR="00E066BA" w:rsidRDefault="00E066BA" w:rsidP="00051ED9"/>
    <w:p w14:paraId="1FA405FD" w14:textId="77777777" w:rsidR="00051ED9" w:rsidRDefault="00562917" w:rsidP="00772BDC">
      <w:r w:rsidRPr="00E203C2">
        <w:br w:type="page"/>
      </w:r>
    </w:p>
    <w:p w14:paraId="6B6F4D97" w14:textId="5CB6AC72" w:rsidR="004748B9" w:rsidRDefault="00C857AD" w:rsidP="00C857AD">
      <w:pPr>
        <w:pStyle w:val="Heading1"/>
        <w:numPr>
          <w:ilvl w:val="1"/>
          <w:numId w:val="29"/>
        </w:numPr>
      </w:pPr>
      <w:bookmarkStart w:id="5" w:name="_Toc64561454"/>
      <w:bookmarkStart w:id="6" w:name="_Toc66868356"/>
      <w:bookmarkEnd w:id="5"/>
      <w:r>
        <w:lastRenderedPageBreak/>
        <w:t>Scope of the assessment: rationale and limitations</w:t>
      </w:r>
      <w:bookmarkEnd w:id="6"/>
    </w:p>
    <w:p w14:paraId="53D980B6" w14:textId="77777777" w:rsidR="00C857AD" w:rsidRDefault="00C857AD" w:rsidP="00C857AD">
      <w:pPr>
        <w:rPr>
          <w:lang w:bidi="ar-SA"/>
        </w:rPr>
      </w:pPr>
    </w:p>
    <w:p w14:paraId="6F06F883" w14:textId="01707F8A" w:rsidR="00C857AD" w:rsidRPr="00C1761C" w:rsidRDefault="00C857AD" w:rsidP="00C857AD">
      <w:pPr>
        <w:rPr>
          <w:lang w:bidi="ar-SA"/>
        </w:rPr>
      </w:pPr>
      <w:r w:rsidRPr="00153DA3">
        <w:rPr>
          <w:lang w:bidi="ar-SA"/>
        </w:rPr>
        <w:t xml:space="preserve">The assessment described in this Supporting Document answers the risk assessment question: </w:t>
      </w:r>
      <w:r>
        <w:rPr>
          <w:lang w:bidi="ar-SA"/>
        </w:rPr>
        <w:t>“</w:t>
      </w:r>
      <w:r w:rsidRPr="00153DA3">
        <w:rPr>
          <w:rFonts w:cs="Arial"/>
        </w:rPr>
        <w:t>to what extent does GOS meet the Code’s definition of dietary fibre for beneficial physiological effects for any population group except infants and young children?</w:t>
      </w:r>
      <w:r>
        <w:rPr>
          <w:rFonts w:cs="Arial"/>
        </w:rPr>
        <w:t xml:space="preserve">” </w:t>
      </w:r>
      <w:r w:rsidRPr="00C1761C">
        <w:rPr>
          <w:lang w:bidi="ar-SA"/>
        </w:rPr>
        <w:t xml:space="preserve">These </w:t>
      </w:r>
      <w:r>
        <w:rPr>
          <w:lang w:bidi="ar-SA"/>
        </w:rPr>
        <w:t xml:space="preserve">beneficial physiological effects </w:t>
      </w:r>
      <w:r w:rsidRPr="00C1761C">
        <w:rPr>
          <w:lang w:bidi="ar-SA"/>
        </w:rPr>
        <w:t>are:</w:t>
      </w:r>
    </w:p>
    <w:p w14:paraId="7978B31F" w14:textId="77777777" w:rsidR="00C857AD" w:rsidRPr="00C1761C" w:rsidRDefault="00C857AD" w:rsidP="00C857AD">
      <w:pPr>
        <w:pStyle w:val="ListParagraph"/>
        <w:numPr>
          <w:ilvl w:val="0"/>
          <w:numId w:val="25"/>
        </w:numPr>
        <w:rPr>
          <w:rFonts w:cs="Arial"/>
          <w:i/>
          <w:szCs w:val="22"/>
          <w:lang w:bidi="ar-SA"/>
        </w:rPr>
      </w:pPr>
      <w:r w:rsidRPr="00C1761C">
        <w:rPr>
          <w:rFonts w:cs="Arial"/>
          <w:i/>
        </w:rPr>
        <w:t>laxation;</w:t>
      </w:r>
    </w:p>
    <w:p w14:paraId="267C9E14" w14:textId="77777777" w:rsidR="00C857AD" w:rsidRPr="00C1761C" w:rsidRDefault="00C857AD" w:rsidP="00C857AD">
      <w:pPr>
        <w:pStyle w:val="ListParagraph"/>
        <w:numPr>
          <w:ilvl w:val="0"/>
          <w:numId w:val="25"/>
        </w:numPr>
        <w:rPr>
          <w:rFonts w:cs="Arial"/>
          <w:i/>
          <w:szCs w:val="22"/>
          <w:lang w:bidi="ar-SA"/>
        </w:rPr>
      </w:pPr>
      <w:r w:rsidRPr="00C1761C">
        <w:rPr>
          <w:rFonts w:cs="Arial"/>
          <w:i/>
        </w:rPr>
        <w:t>reduction in blood cholesterol;</w:t>
      </w:r>
    </w:p>
    <w:p w14:paraId="15C93BD0" w14:textId="77777777" w:rsidR="00C857AD" w:rsidRPr="00C1761C" w:rsidRDefault="00C857AD" w:rsidP="00C857AD">
      <w:pPr>
        <w:pStyle w:val="ListParagraph"/>
        <w:numPr>
          <w:ilvl w:val="0"/>
          <w:numId w:val="25"/>
        </w:numPr>
        <w:rPr>
          <w:rFonts w:cs="Arial"/>
          <w:i/>
          <w:szCs w:val="22"/>
          <w:lang w:bidi="ar-SA"/>
        </w:rPr>
      </w:pPr>
      <w:r w:rsidRPr="00C1761C">
        <w:rPr>
          <w:rFonts w:cs="Arial"/>
          <w:i/>
        </w:rPr>
        <w:t>modulation of blood glucose;</w:t>
      </w:r>
    </w:p>
    <w:p w14:paraId="6408462B" w14:textId="77777777" w:rsidR="00C857AD" w:rsidRPr="00153DA3" w:rsidRDefault="00C857AD" w:rsidP="00C857AD">
      <w:pPr>
        <w:rPr>
          <w:lang w:bidi="ar-SA"/>
        </w:rPr>
      </w:pPr>
    </w:p>
    <w:p w14:paraId="2C78D4E3" w14:textId="77777777" w:rsidR="00C857AD" w:rsidRDefault="00C857AD" w:rsidP="00C857AD">
      <w:pPr>
        <w:rPr>
          <w:rFonts w:cs="Arial"/>
          <w:szCs w:val="22"/>
        </w:rPr>
      </w:pPr>
      <w:r>
        <w:rPr>
          <w:lang w:bidi="ar-SA"/>
        </w:rPr>
        <w:t xml:space="preserve">We included publications that reported an </w:t>
      </w:r>
      <w:r w:rsidRPr="00153DA3">
        <w:rPr>
          <w:lang w:bidi="ar-SA"/>
        </w:rPr>
        <w:t>outcome</w:t>
      </w:r>
      <w:r>
        <w:rPr>
          <w:lang w:bidi="ar-SA"/>
        </w:rPr>
        <w:t xml:space="preserve"> related</w:t>
      </w:r>
      <w:r w:rsidRPr="00153DA3">
        <w:rPr>
          <w:lang w:bidi="ar-SA"/>
        </w:rPr>
        <w:t xml:space="preserve"> to the</w:t>
      </w:r>
      <w:r>
        <w:rPr>
          <w:lang w:bidi="ar-SA"/>
        </w:rPr>
        <w:t xml:space="preserve"> Code’s</w:t>
      </w:r>
      <w:r w:rsidRPr="00153DA3">
        <w:rPr>
          <w:lang w:bidi="ar-SA"/>
        </w:rPr>
        <w:t xml:space="preserve"> three </w:t>
      </w:r>
      <w:r>
        <w:rPr>
          <w:lang w:bidi="ar-SA"/>
        </w:rPr>
        <w:t xml:space="preserve">beneficial </w:t>
      </w:r>
      <w:r w:rsidRPr="00153DA3">
        <w:rPr>
          <w:lang w:bidi="ar-SA"/>
        </w:rPr>
        <w:t xml:space="preserve">physiological effects. We </w:t>
      </w:r>
      <w:r>
        <w:rPr>
          <w:lang w:bidi="ar-SA"/>
        </w:rPr>
        <w:t>categorised them into primary and secondary outcomes, according to their relevance to each of the three beneficial physiological effects listed in</w:t>
      </w:r>
      <w:r w:rsidRPr="008D35ED">
        <w:rPr>
          <w:lang w:bidi="ar-SA"/>
        </w:rPr>
        <w:t xml:space="preserve"> the Code’s definition of dietary fibre (i.e.</w:t>
      </w:r>
      <w:r>
        <w:rPr>
          <w:lang w:bidi="ar-SA"/>
        </w:rPr>
        <w:t xml:space="preserve"> “laxation”,</w:t>
      </w:r>
      <w:r w:rsidRPr="008D35ED">
        <w:rPr>
          <w:lang w:bidi="ar-SA"/>
        </w:rPr>
        <w:t xml:space="preserve"> “reduction in blood cholesterol”</w:t>
      </w:r>
      <w:r>
        <w:rPr>
          <w:lang w:bidi="ar-SA"/>
        </w:rPr>
        <w:t>, and “modulation of blood glucose”</w:t>
      </w:r>
      <w:r w:rsidRPr="008D35ED">
        <w:rPr>
          <w:lang w:bidi="ar-SA"/>
        </w:rPr>
        <w:t>)</w:t>
      </w:r>
      <w:r>
        <w:rPr>
          <w:lang w:bidi="ar-SA"/>
        </w:rPr>
        <w:t>. If the outcome was</w:t>
      </w:r>
      <w:r w:rsidRPr="008D35ED">
        <w:rPr>
          <w:lang w:bidi="ar-SA"/>
        </w:rPr>
        <w:t xml:space="preserve"> assessed </w:t>
      </w:r>
      <w:r>
        <w:rPr>
          <w:lang w:bidi="ar-SA"/>
        </w:rPr>
        <w:t>in</w:t>
      </w:r>
      <w:r w:rsidRPr="008D35ED">
        <w:rPr>
          <w:lang w:bidi="ar-SA"/>
        </w:rPr>
        <w:t xml:space="preserve"> at least two studies, </w:t>
      </w:r>
      <w:r>
        <w:rPr>
          <w:lang w:bidi="ar-SA"/>
        </w:rPr>
        <w:t>we conducted a meta-analysis</w:t>
      </w:r>
      <w:r w:rsidRPr="008D35ED">
        <w:rPr>
          <w:lang w:bidi="ar-SA"/>
        </w:rPr>
        <w:t xml:space="preserve">. </w:t>
      </w:r>
      <w:r>
        <w:rPr>
          <w:lang w:bidi="ar-SA"/>
        </w:rPr>
        <w:t xml:space="preserve">The primary outcomes assessed using meta-analyses include: absolute stool weight; total and LDL-cholesterol; and, fasting blood glucose. The primary outcomes assessed by narrative review include: </w:t>
      </w:r>
      <w:r w:rsidRPr="00C1761C">
        <w:rPr>
          <w:rFonts w:cs="Arial"/>
          <w:szCs w:val="22"/>
        </w:rPr>
        <w:t>glycosylated haemoglobin</w:t>
      </w:r>
      <w:r>
        <w:rPr>
          <w:rFonts w:cs="Arial"/>
          <w:szCs w:val="22"/>
        </w:rPr>
        <w:t xml:space="preserve">; </w:t>
      </w:r>
      <w:r w:rsidRPr="00C1761C">
        <w:rPr>
          <w:rFonts w:cs="Arial"/>
          <w:szCs w:val="22"/>
        </w:rPr>
        <w:t>postprandial glycaemic response</w:t>
      </w:r>
      <w:r>
        <w:rPr>
          <w:rFonts w:cs="Arial"/>
          <w:szCs w:val="22"/>
        </w:rPr>
        <w:t xml:space="preserve">; and, relative stool weight. Secondary outcomes </w:t>
      </w:r>
      <w:r>
        <w:rPr>
          <w:lang w:bidi="ar-SA"/>
        </w:rPr>
        <w:t xml:space="preserve">assessed using meta-analyses include: </w:t>
      </w:r>
      <w:r>
        <w:rPr>
          <w:rFonts w:cs="Arial"/>
          <w:szCs w:val="22"/>
        </w:rPr>
        <w:t xml:space="preserve">HDL-cholesterol; fasting triglycerides; fasting insulin; and, HOMA-IR. </w:t>
      </w:r>
      <w:r>
        <w:rPr>
          <w:lang w:bidi="ar-SA"/>
        </w:rPr>
        <w:t xml:space="preserve">Secondary outcomes assessed by narrative review include: </w:t>
      </w:r>
      <w:r w:rsidRPr="00C1761C">
        <w:rPr>
          <w:rFonts w:cs="Arial"/>
          <w:szCs w:val="22"/>
        </w:rPr>
        <w:t>bowel movement or stool frequency</w:t>
      </w:r>
      <w:r>
        <w:rPr>
          <w:rFonts w:cs="Arial"/>
          <w:szCs w:val="22"/>
        </w:rPr>
        <w:t>;</w:t>
      </w:r>
      <w:r w:rsidRPr="00C1761C">
        <w:rPr>
          <w:rFonts w:cs="Arial"/>
          <w:szCs w:val="22"/>
        </w:rPr>
        <w:t xml:space="preserve"> intestinal transit time</w:t>
      </w:r>
      <w:r>
        <w:rPr>
          <w:rFonts w:cs="Arial"/>
          <w:szCs w:val="22"/>
        </w:rPr>
        <w:t xml:space="preserve">; and, </w:t>
      </w:r>
      <w:r w:rsidRPr="00C1761C">
        <w:rPr>
          <w:rFonts w:cs="Arial"/>
          <w:szCs w:val="22"/>
        </w:rPr>
        <w:t>five additional insulin-related outcomes</w:t>
      </w:r>
      <w:r>
        <w:rPr>
          <w:rFonts w:cs="Arial"/>
          <w:szCs w:val="22"/>
        </w:rPr>
        <w:t>.</w:t>
      </w:r>
    </w:p>
    <w:p w14:paraId="328BC635" w14:textId="77777777" w:rsidR="00C857AD" w:rsidRDefault="00C857AD" w:rsidP="00C857AD">
      <w:pPr>
        <w:rPr>
          <w:lang w:bidi="ar-SA"/>
        </w:rPr>
      </w:pPr>
    </w:p>
    <w:p w14:paraId="31AF1CF2" w14:textId="0F9FB149" w:rsidR="00545D8D" w:rsidRDefault="00BD7979" w:rsidP="00545D8D">
      <w:pPr>
        <w:rPr>
          <w:lang w:bidi="ar-SA"/>
        </w:rPr>
      </w:pPr>
      <w:r w:rsidRPr="00BD7979">
        <w:rPr>
          <w:lang w:bidi="ar-SA"/>
        </w:rPr>
        <w:t>The body of evidence about the physiological effects of GOS only includes results from clinical trials which used synthetic analogues, not the natural forms, and shows that GOS does not affect the three beneficial physiological effects listed in the Code. Therefore, insofar as naturally occurring GOS is concerned, the physiological effects are inferred on the basis of structural similarities to synthetic analogues and extend from an indirect body of evidence (i.e. synthetic analogues).</w:t>
      </w:r>
      <w:r w:rsidR="00C857AD">
        <w:rPr>
          <w:lang w:bidi="ar-SA"/>
        </w:rPr>
        <w:t xml:space="preserve">Further, </w:t>
      </w:r>
      <w:r w:rsidR="00C92EF1">
        <w:rPr>
          <w:lang w:bidi="ar-SA"/>
        </w:rPr>
        <w:t>GOS</w:t>
      </w:r>
      <w:r w:rsidR="00C857AD">
        <w:rPr>
          <w:lang w:bidi="ar-SA"/>
        </w:rPr>
        <w:t xml:space="preserve"> were consumed in powdered form, mixed into beverages or foods; therefore, the current assessment has not evaluated the effects of synthetic</w:t>
      </w:r>
      <w:r w:rsidR="00522B60" w:rsidRPr="00522B60">
        <w:rPr>
          <w:rFonts w:cs="Arial"/>
        </w:rPr>
        <w:t xml:space="preserve"> </w:t>
      </w:r>
      <w:r w:rsidR="00522B60">
        <w:rPr>
          <w:rFonts w:cs="Arial"/>
        </w:rPr>
        <w:t>analogues of</w:t>
      </w:r>
      <w:r w:rsidR="00C857AD">
        <w:rPr>
          <w:lang w:bidi="ar-SA"/>
        </w:rPr>
        <w:t xml:space="preserve"> </w:t>
      </w:r>
      <w:r w:rsidR="00C92EF1">
        <w:rPr>
          <w:lang w:bidi="ar-SA"/>
        </w:rPr>
        <w:t>GOS</w:t>
      </w:r>
      <w:r w:rsidR="00C857AD">
        <w:rPr>
          <w:lang w:bidi="ar-SA"/>
        </w:rPr>
        <w:t xml:space="preserve"> when incorporated into the food matrix of processed foods.</w:t>
      </w:r>
    </w:p>
    <w:p w14:paraId="20C9B51F" w14:textId="77777777" w:rsidR="00C857AD" w:rsidRDefault="00C857AD" w:rsidP="00C857AD">
      <w:pPr>
        <w:rPr>
          <w:lang w:bidi="ar-SA"/>
        </w:rPr>
      </w:pPr>
    </w:p>
    <w:p w14:paraId="75361B15" w14:textId="6D42B3B8" w:rsidR="00C857AD" w:rsidRDefault="00C857AD" w:rsidP="00C857AD">
      <w:pPr>
        <w:rPr>
          <w:lang w:bidi="ar-SA"/>
        </w:rPr>
      </w:pPr>
      <w:r>
        <w:rPr>
          <w:lang w:bidi="ar-SA"/>
        </w:rPr>
        <w:t xml:space="preserve">The Supporting Document 1 explains that sugars with a degree of polymerisation of two or less (i.e. mono- and di-saccharides) will not be detected as dietary fibre by </w:t>
      </w:r>
      <w:r w:rsidR="004C293F">
        <w:rPr>
          <w:lang w:bidi="ar-SA"/>
        </w:rPr>
        <w:t>the AOAC 2017.16 Method. Table 7</w:t>
      </w:r>
      <w:r w:rsidRPr="002C20AD">
        <w:rPr>
          <w:lang w:bidi="ar-SA"/>
        </w:rPr>
        <w:t xml:space="preserve"> </w:t>
      </w:r>
      <w:r>
        <w:rPr>
          <w:lang w:bidi="ar-SA"/>
        </w:rPr>
        <w:t xml:space="preserve">illustrates that the studies </w:t>
      </w:r>
      <w:r w:rsidRPr="002C20AD">
        <w:rPr>
          <w:lang w:bidi="ar-SA"/>
        </w:rPr>
        <w:t xml:space="preserve">used </w:t>
      </w:r>
      <w:r w:rsidR="00C92EF1">
        <w:rPr>
          <w:lang w:bidi="ar-SA"/>
        </w:rPr>
        <w:t>GOS</w:t>
      </w:r>
      <w:r w:rsidRPr="002C20AD">
        <w:rPr>
          <w:lang w:bidi="ar-SA"/>
        </w:rPr>
        <w:t xml:space="preserve"> mixtures</w:t>
      </w:r>
      <w:r>
        <w:rPr>
          <w:lang w:bidi="ar-SA"/>
        </w:rPr>
        <w:t xml:space="preserve"> where the </w:t>
      </w:r>
      <w:r w:rsidR="00C92EF1">
        <w:rPr>
          <w:lang w:bidi="ar-SA"/>
        </w:rPr>
        <w:t>GOS</w:t>
      </w:r>
      <w:r>
        <w:rPr>
          <w:lang w:bidi="ar-SA"/>
        </w:rPr>
        <w:t xml:space="preserve"> component</w:t>
      </w:r>
      <w:r w:rsidRPr="002C20AD">
        <w:rPr>
          <w:lang w:bidi="ar-SA"/>
        </w:rPr>
        <w:t xml:space="preserve"> contain</w:t>
      </w:r>
      <w:r>
        <w:rPr>
          <w:lang w:bidi="ar-SA"/>
        </w:rPr>
        <w:t>ed varying levels of</w:t>
      </w:r>
      <w:r w:rsidRPr="002C20AD">
        <w:rPr>
          <w:lang w:bidi="ar-SA"/>
        </w:rPr>
        <w:t xml:space="preserve"> disaccharides</w:t>
      </w:r>
      <w:r w:rsidR="004C293F">
        <w:rPr>
          <w:lang w:bidi="ar-SA"/>
        </w:rPr>
        <w:t xml:space="preserve"> (</w:t>
      </w:r>
      <w:r w:rsidR="004C293F">
        <w:rPr>
          <w:rFonts w:cs="Arial"/>
          <w:szCs w:val="22"/>
        </w:rPr>
        <w:t>Appendix Section 2.5</w:t>
      </w:r>
      <w:r w:rsidR="004C293F">
        <w:rPr>
          <w:lang w:bidi="ar-SA"/>
        </w:rPr>
        <w:t>)</w:t>
      </w:r>
      <w:r w:rsidRPr="002C20AD">
        <w:rPr>
          <w:lang w:bidi="ar-SA"/>
        </w:rPr>
        <w:t xml:space="preserve">. For example, </w:t>
      </w:r>
      <w:r>
        <w:rPr>
          <w:lang w:bidi="ar-SA"/>
        </w:rPr>
        <w:t xml:space="preserve">Ito et al. (1990) stated that </w:t>
      </w:r>
      <w:r w:rsidRPr="002C20AD">
        <w:rPr>
          <w:lang w:bidi="ar-SA"/>
        </w:rPr>
        <w:t xml:space="preserve">Oligomate-50 contains 16% disaccharides (either </w:t>
      </w:r>
      <w:r>
        <w:rPr>
          <w:lang w:bidi="ar-SA"/>
        </w:rPr>
        <w:t>galactosyl glucose</w:t>
      </w:r>
      <w:r w:rsidRPr="002C20AD">
        <w:rPr>
          <w:lang w:bidi="ar-SA"/>
        </w:rPr>
        <w:t xml:space="preserve"> or </w:t>
      </w:r>
      <w:r>
        <w:rPr>
          <w:lang w:bidi="ar-SA"/>
        </w:rPr>
        <w:t xml:space="preserve">galactosyl galactose; w/w dry matter) </w:t>
      </w:r>
      <w:r w:rsidRPr="00696528">
        <w:rPr>
          <w:lang w:bidi="ar-SA"/>
        </w:rPr>
        <w:t>which contributes</w:t>
      </w:r>
      <w:r>
        <w:rPr>
          <w:lang w:bidi="ar-SA"/>
        </w:rPr>
        <w:t xml:space="preserve"> almost one-third of the</w:t>
      </w:r>
      <w:r w:rsidRPr="00696528">
        <w:rPr>
          <w:lang w:bidi="ar-SA"/>
        </w:rPr>
        <w:t xml:space="preserve"> total </w:t>
      </w:r>
      <w:r w:rsidR="00C92EF1">
        <w:rPr>
          <w:lang w:bidi="ar-SA"/>
        </w:rPr>
        <w:t>GOS</w:t>
      </w:r>
      <w:r w:rsidRPr="00696528">
        <w:rPr>
          <w:lang w:bidi="ar-SA"/>
        </w:rPr>
        <w:t xml:space="preserve"> </w:t>
      </w:r>
      <w:r>
        <w:rPr>
          <w:lang w:bidi="ar-SA"/>
        </w:rPr>
        <w:t xml:space="preserve">(52%) in the Oligomate-50 mixture </w:t>
      </w:r>
      <w:r w:rsidRPr="00696528">
        <w:rPr>
          <w:lang w:bidi="ar-SA"/>
        </w:rPr>
        <w:t xml:space="preserve">(w/w dry matter). </w:t>
      </w:r>
      <w:r>
        <w:rPr>
          <w:lang w:bidi="ar-SA"/>
        </w:rPr>
        <w:t xml:space="preserve">This disaccharide component (16%) excludes the lactose (10%) that is also present in Oligomate-50. </w:t>
      </w:r>
      <w:r w:rsidRPr="00696528">
        <w:rPr>
          <w:lang w:bidi="ar-SA"/>
        </w:rPr>
        <w:t>Torres et al. (2010) present</w:t>
      </w:r>
      <w:r>
        <w:rPr>
          <w:lang w:bidi="ar-SA"/>
        </w:rPr>
        <w:t>ed</w:t>
      </w:r>
      <w:r w:rsidRPr="00696528">
        <w:rPr>
          <w:lang w:bidi="ar-SA"/>
        </w:rPr>
        <w:t xml:space="preserve"> the chemical composition of other commercial </w:t>
      </w:r>
      <w:r w:rsidR="00C92EF1">
        <w:rPr>
          <w:lang w:bidi="ar-SA"/>
        </w:rPr>
        <w:t>GOS</w:t>
      </w:r>
      <w:r>
        <w:rPr>
          <w:lang w:bidi="ar-SA"/>
        </w:rPr>
        <w:t xml:space="preserve"> products</w:t>
      </w:r>
      <w:r w:rsidRPr="00696528">
        <w:rPr>
          <w:lang w:bidi="ar-SA"/>
        </w:rPr>
        <w:t xml:space="preserve"> which contain saccharides of different degrees of polymerisation</w:t>
      </w:r>
      <w:r>
        <w:rPr>
          <w:lang w:bidi="ar-SA"/>
        </w:rPr>
        <w:t>,</w:t>
      </w:r>
      <w:r w:rsidRPr="00696528">
        <w:rPr>
          <w:lang w:bidi="ar-SA"/>
        </w:rPr>
        <w:t xml:space="preserve"> </w:t>
      </w:r>
      <w:r>
        <w:rPr>
          <w:lang w:bidi="ar-SA"/>
        </w:rPr>
        <w:t xml:space="preserve">in different proportions of the total amount of </w:t>
      </w:r>
      <w:r w:rsidR="00C92EF1">
        <w:rPr>
          <w:lang w:bidi="ar-SA"/>
        </w:rPr>
        <w:t>GOS</w:t>
      </w:r>
      <w:r>
        <w:rPr>
          <w:lang w:bidi="ar-SA"/>
        </w:rPr>
        <w:t xml:space="preserve">. Total </w:t>
      </w:r>
      <w:r w:rsidR="00C92EF1">
        <w:rPr>
          <w:lang w:bidi="ar-SA"/>
        </w:rPr>
        <w:t>GOS</w:t>
      </w:r>
      <w:r>
        <w:rPr>
          <w:lang w:bidi="ar-SA"/>
        </w:rPr>
        <w:t xml:space="preserve"> content varied between 48% and 100% (w/w dry matter) in the six products reviewed by Torres et al. (2010). </w:t>
      </w:r>
      <w:r w:rsidRPr="00890B46">
        <w:rPr>
          <w:lang w:bidi="ar-SA"/>
        </w:rPr>
        <w:t>The non-</w:t>
      </w:r>
      <w:r w:rsidR="00C92EF1">
        <w:rPr>
          <w:lang w:bidi="ar-SA"/>
        </w:rPr>
        <w:t>GOS</w:t>
      </w:r>
      <w:r w:rsidRPr="00890B46">
        <w:rPr>
          <w:lang w:bidi="ar-SA"/>
        </w:rPr>
        <w:t xml:space="preserve"> components of mixtures </w:t>
      </w:r>
      <w:r>
        <w:rPr>
          <w:lang w:bidi="ar-SA"/>
        </w:rPr>
        <w:t>represent</w:t>
      </w:r>
      <w:r w:rsidRPr="00890B46">
        <w:rPr>
          <w:lang w:bidi="ar-SA"/>
        </w:rPr>
        <w:t xml:space="preserve"> differing proportions of </w:t>
      </w:r>
      <w:r>
        <w:rPr>
          <w:lang w:bidi="ar-SA"/>
        </w:rPr>
        <w:t>disaccharides (</w:t>
      </w:r>
      <w:r w:rsidRPr="00890B46">
        <w:rPr>
          <w:lang w:bidi="ar-SA"/>
        </w:rPr>
        <w:t>lactose</w:t>
      </w:r>
      <w:r>
        <w:rPr>
          <w:lang w:bidi="ar-SA"/>
        </w:rPr>
        <w:t>)</w:t>
      </w:r>
      <w:r w:rsidRPr="00890B46">
        <w:rPr>
          <w:lang w:bidi="ar-SA"/>
        </w:rPr>
        <w:t xml:space="preserve"> and </w:t>
      </w:r>
      <w:r>
        <w:rPr>
          <w:lang w:bidi="ar-SA"/>
        </w:rPr>
        <w:t>monosaccharides (</w:t>
      </w:r>
      <w:r w:rsidRPr="00890B46">
        <w:rPr>
          <w:lang w:bidi="ar-SA"/>
        </w:rPr>
        <w:t>glucose or galactose).</w:t>
      </w:r>
      <w:r>
        <w:rPr>
          <w:lang w:bidi="ar-SA"/>
        </w:rPr>
        <w:t xml:space="preserve"> The </w:t>
      </w:r>
      <w:r w:rsidR="00C92EF1">
        <w:rPr>
          <w:lang w:bidi="ar-SA"/>
        </w:rPr>
        <w:t>GOS</w:t>
      </w:r>
      <w:r>
        <w:rPr>
          <w:lang w:bidi="ar-SA"/>
        </w:rPr>
        <w:t xml:space="preserve">’ degrees of polymerisation also varied; saccharides with a degree of polymerisation of two contributed from 0% to 29% (w/w dry matter) to the commercial product. Thus, there are some considerations to bear in mind. First, the impact of different degrees of polymerisation on physiological outcomes is unknown. The current evidence is unable to distinguish the nature of a relationship, if any, between </w:t>
      </w:r>
      <w:r w:rsidR="00C92EF1">
        <w:rPr>
          <w:lang w:bidi="ar-SA"/>
        </w:rPr>
        <w:t>GOS</w:t>
      </w:r>
      <w:r>
        <w:rPr>
          <w:lang w:bidi="ar-SA"/>
        </w:rPr>
        <w:t xml:space="preserve"> mixtures’ degrees of polymerisation </w:t>
      </w:r>
      <w:r>
        <w:rPr>
          <w:lang w:bidi="ar-SA"/>
        </w:rPr>
        <w:lastRenderedPageBreak/>
        <w:t xml:space="preserve">and physiological outcomes. Second, if </w:t>
      </w:r>
      <w:r w:rsidR="00C92EF1">
        <w:rPr>
          <w:lang w:bidi="ar-SA"/>
        </w:rPr>
        <w:t>GOS</w:t>
      </w:r>
      <w:r>
        <w:rPr>
          <w:lang w:bidi="ar-SA"/>
        </w:rPr>
        <w:t xml:space="preserve"> mixtures reduce their mono- or di-saccharide component in future, it is unknown what physiological effect the new mixture would exert. Third, the reported fibre content will differ between the commercially reported information and the measured fibre content when using the AOAC 2017.16 Method. In addition, some studies used a </w:t>
      </w:r>
      <w:r w:rsidR="00C92EF1">
        <w:rPr>
          <w:lang w:bidi="ar-SA"/>
        </w:rPr>
        <w:t>GOS</w:t>
      </w:r>
      <w:r>
        <w:rPr>
          <w:lang w:bidi="ar-SA"/>
        </w:rPr>
        <w:t xml:space="preserve"> mixture containing mono- and di-saccharides, but did not match this sugar or energy content in the placebo that was provided to the control group. Therefore, it is not always possible to attribute any observed effect to </w:t>
      </w:r>
      <w:r w:rsidR="00C92EF1">
        <w:rPr>
          <w:lang w:bidi="ar-SA"/>
        </w:rPr>
        <w:t>GOS</w:t>
      </w:r>
      <w:r>
        <w:rPr>
          <w:lang w:bidi="ar-SA"/>
        </w:rPr>
        <w:t>.</w:t>
      </w:r>
    </w:p>
    <w:p w14:paraId="37B9F701" w14:textId="77777777" w:rsidR="00C857AD" w:rsidRDefault="00C857AD" w:rsidP="00C857AD">
      <w:pPr>
        <w:rPr>
          <w:lang w:bidi="ar-SA"/>
        </w:rPr>
      </w:pPr>
    </w:p>
    <w:p w14:paraId="7445BD4C" w14:textId="400CB992" w:rsidR="00C857AD" w:rsidRDefault="00C857AD" w:rsidP="00C857AD">
      <w:pPr>
        <w:rPr>
          <w:rFonts w:cs="Arial"/>
        </w:rPr>
      </w:pPr>
      <w:r>
        <w:rPr>
          <w:rFonts w:cs="Arial"/>
        </w:rPr>
        <w:t xml:space="preserve">We included parallel or crossover controlled trials in humans where the intervention group consumed additional </w:t>
      </w:r>
      <w:r w:rsidR="00C92EF1">
        <w:rPr>
          <w:rFonts w:cs="Arial"/>
        </w:rPr>
        <w:t>GOS</w:t>
      </w:r>
      <w:r>
        <w:rPr>
          <w:rFonts w:cs="Arial"/>
        </w:rPr>
        <w:t xml:space="preserve"> in isolation to other non-digestible carbohydrates. The resulting studies were mainly randomised trials with a placebo control, although we had not intentionally limited the inclusion criteria to this, due to an expected low number of relevant studies. Studies with an inclusion criteria specific to infants, children, or people with gastrointestinal conditions (such as inflammatory bowel disease, irritable bowel syndrome, short bowel syndrome, or ulcerative colitis) were excluded from this review. The reasons for excluding these participant groups were: 1, </w:t>
      </w:r>
      <w:r w:rsidR="00C92EF1">
        <w:rPr>
          <w:rFonts w:cs="Arial"/>
        </w:rPr>
        <w:t>GOS</w:t>
      </w:r>
      <w:r>
        <w:rPr>
          <w:rFonts w:cs="Arial"/>
        </w:rPr>
        <w:t xml:space="preserve"> intake contributes to undesirable gut symptoms in people with irritable bowel syndrome (Tuck et al. 2018) which affects 8.1% (95% CI: 7.0, 8.3) of the North America/Europe/Australia/New Zealand population (Sperber et al. 2017); 2, lowering blood cholesterol and fasting glucose is not generally of critical importance in infants and children; and, 3, the reporting of the fibre content of infant formula is not required by the Code.</w:t>
      </w:r>
    </w:p>
    <w:p w14:paraId="327C07F1" w14:textId="77777777" w:rsidR="00C857AD" w:rsidRDefault="00C857AD" w:rsidP="00C857AD">
      <w:pPr>
        <w:rPr>
          <w:lang w:bidi="ar-SA"/>
        </w:rPr>
      </w:pPr>
    </w:p>
    <w:p w14:paraId="1BB57ACD" w14:textId="77777777" w:rsidR="00C857AD" w:rsidRPr="00C857AD" w:rsidRDefault="00C857AD" w:rsidP="00C857AD">
      <w:pPr>
        <w:rPr>
          <w:lang w:bidi="ar-SA"/>
        </w:rPr>
      </w:pPr>
    </w:p>
    <w:p w14:paraId="28E2DBF2" w14:textId="6C62F5A2" w:rsidR="004748B9" w:rsidRDefault="003D7003" w:rsidP="00A25053">
      <w:pPr>
        <w:pStyle w:val="Heading1"/>
      </w:pPr>
      <w:bookmarkStart w:id="7" w:name="_Toc64561455"/>
      <w:bookmarkStart w:id="8" w:name="_Toc66868357"/>
      <w:r>
        <w:t>1</w:t>
      </w:r>
      <w:r w:rsidR="00D04CD7">
        <w:t>.</w:t>
      </w:r>
      <w:r w:rsidR="00871D1D">
        <w:t>2</w:t>
      </w:r>
      <w:r w:rsidR="00A25053">
        <w:t xml:space="preserve"> </w:t>
      </w:r>
      <w:r w:rsidR="003009C0">
        <w:t>L</w:t>
      </w:r>
      <w:r w:rsidR="004748B9">
        <w:t>axation</w:t>
      </w:r>
      <w:bookmarkEnd w:id="7"/>
      <w:bookmarkEnd w:id="8"/>
    </w:p>
    <w:p w14:paraId="19781DE5" w14:textId="28553045" w:rsidR="00D43803" w:rsidRDefault="003D7003" w:rsidP="0073104D">
      <w:pPr>
        <w:pStyle w:val="Heading2"/>
      </w:pPr>
      <w:bookmarkStart w:id="9" w:name="_Toc64561456"/>
      <w:bookmarkStart w:id="10" w:name="_Toc66868358"/>
      <w:r>
        <w:t>1</w:t>
      </w:r>
      <w:r w:rsidR="00D43803" w:rsidRPr="00B52107">
        <w:t xml:space="preserve">.2.1 </w:t>
      </w:r>
      <w:r w:rsidR="00D43803">
        <w:t>Assessment: background</w:t>
      </w:r>
      <w:bookmarkEnd w:id="9"/>
      <w:bookmarkEnd w:id="10"/>
    </w:p>
    <w:p w14:paraId="3838D617" w14:textId="36A83D6D" w:rsidR="00F70B5B" w:rsidRPr="002802B6" w:rsidRDefault="00F333EB" w:rsidP="00D43803">
      <w:pPr>
        <w:rPr>
          <w:rFonts w:cs="Arial"/>
          <w:szCs w:val="22"/>
          <w:lang w:bidi="ar-SA"/>
        </w:rPr>
      </w:pPr>
      <w:r>
        <w:rPr>
          <w:lang w:bidi="ar-SA"/>
        </w:rPr>
        <w:t>There are several hypotheses to explain the effect of dietary fibre on laxation. Cummings (2001) outlines four probable mechanisms of action</w:t>
      </w:r>
      <w:r w:rsidR="00BC4088">
        <w:rPr>
          <w:lang w:bidi="ar-SA"/>
        </w:rPr>
        <w:t>:</w:t>
      </w:r>
      <w:r>
        <w:rPr>
          <w:lang w:bidi="ar-SA"/>
        </w:rPr>
        <w:t xml:space="preserve"> </w:t>
      </w:r>
      <w:r w:rsidR="00BC4088">
        <w:rPr>
          <w:lang w:bidi="ar-SA"/>
        </w:rPr>
        <w:t>(i)</w:t>
      </w:r>
      <w:r w:rsidR="00F02389">
        <w:rPr>
          <w:lang w:bidi="ar-SA"/>
        </w:rPr>
        <w:t xml:space="preserve"> p</w:t>
      </w:r>
      <w:r>
        <w:rPr>
          <w:lang w:bidi="ar-SA"/>
        </w:rPr>
        <w:t>lant cell walls re</w:t>
      </w:r>
      <w:r w:rsidR="000652CA">
        <w:rPr>
          <w:lang w:bidi="ar-SA"/>
        </w:rPr>
        <w:t>sist breakdown and retain water, and</w:t>
      </w:r>
      <w:r>
        <w:rPr>
          <w:lang w:bidi="ar-SA"/>
        </w:rPr>
        <w:t xml:space="preserve"> may have the physical effect of increasing intestinal bulk </w:t>
      </w:r>
      <w:r w:rsidR="000652CA">
        <w:rPr>
          <w:lang w:bidi="ar-SA"/>
        </w:rPr>
        <w:t>which</w:t>
      </w:r>
      <w:r w:rsidRPr="008E1DF9">
        <w:rPr>
          <w:lang w:bidi="ar-SA"/>
        </w:rPr>
        <w:t xml:space="preserve"> stimulates colonic movement</w:t>
      </w:r>
      <w:r w:rsidR="00BC4088">
        <w:rPr>
          <w:lang w:bidi="ar-SA"/>
        </w:rPr>
        <w:t>; (ii) t</w:t>
      </w:r>
      <w:r>
        <w:rPr>
          <w:lang w:bidi="ar-SA"/>
        </w:rPr>
        <w:t>he degradation of fibre by</w:t>
      </w:r>
      <w:r w:rsidR="008E1DF9">
        <w:rPr>
          <w:lang w:bidi="ar-SA"/>
        </w:rPr>
        <w:t xml:space="preserve"> microflora </w:t>
      </w:r>
      <w:r>
        <w:rPr>
          <w:lang w:bidi="ar-SA"/>
        </w:rPr>
        <w:t>leads to increased microbial growth and excretion of microbial products in faeces</w:t>
      </w:r>
      <w:r w:rsidRPr="00F333EB">
        <w:rPr>
          <w:lang w:bidi="ar-SA"/>
        </w:rPr>
        <w:t xml:space="preserve"> </w:t>
      </w:r>
      <w:r w:rsidR="000652CA">
        <w:rPr>
          <w:lang w:bidi="ar-SA"/>
        </w:rPr>
        <w:t xml:space="preserve">which </w:t>
      </w:r>
      <w:r>
        <w:rPr>
          <w:lang w:bidi="ar-SA"/>
        </w:rPr>
        <w:t>increases stool weight</w:t>
      </w:r>
      <w:r w:rsidR="00BC4088">
        <w:rPr>
          <w:lang w:bidi="ar-SA"/>
        </w:rPr>
        <w:t>; (iii)</w:t>
      </w:r>
      <w:r>
        <w:rPr>
          <w:lang w:bidi="ar-SA"/>
        </w:rPr>
        <w:t xml:space="preserve"> </w:t>
      </w:r>
      <w:r w:rsidR="00BC4088">
        <w:rPr>
          <w:lang w:bidi="ar-SA"/>
        </w:rPr>
        <w:t>i</w:t>
      </w:r>
      <w:r>
        <w:rPr>
          <w:lang w:bidi="ar-SA"/>
        </w:rPr>
        <w:t>ncreasing bulk in the large intestine may shorten the transit time</w:t>
      </w:r>
      <w:r w:rsidR="000652CA">
        <w:rPr>
          <w:lang w:bidi="ar-SA"/>
        </w:rPr>
        <w:t>, in turn reducing</w:t>
      </w:r>
      <w:r>
        <w:rPr>
          <w:lang w:bidi="ar-SA"/>
        </w:rPr>
        <w:t xml:space="preserve"> the water absorption by the colon</w:t>
      </w:r>
      <w:r w:rsidR="000652CA">
        <w:rPr>
          <w:lang w:bidi="ar-SA"/>
        </w:rPr>
        <w:t xml:space="preserve"> and increasing</w:t>
      </w:r>
      <w:r w:rsidR="00F02389">
        <w:rPr>
          <w:lang w:bidi="ar-SA"/>
        </w:rPr>
        <w:t xml:space="preserve"> </w:t>
      </w:r>
      <w:r w:rsidR="008E1DF9">
        <w:rPr>
          <w:lang w:bidi="ar-SA"/>
        </w:rPr>
        <w:t xml:space="preserve">the </w:t>
      </w:r>
      <w:r w:rsidR="00054F00">
        <w:rPr>
          <w:lang w:bidi="ar-SA"/>
        </w:rPr>
        <w:t>amount</w:t>
      </w:r>
      <w:r w:rsidR="008E1DF9">
        <w:rPr>
          <w:lang w:bidi="ar-SA"/>
        </w:rPr>
        <w:t xml:space="preserve"> of </w:t>
      </w:r>
      <w:r w:rsidR="00F02389">
        <w:rPr>
          <w:lang w:bidi="ar-SA"/>
        </w:rPr>
        <w:t>moisture</w:t>
      </w:r>
      <w:r w:rsidR="008E1DF9">
        <w:rPr>
          <w:lang w:bidi="ar-SA"/>
        </w:rPr>
        <w:t xml:space="preserve"> in</w:t>
      </w:r>
      <w:r w:rsidR="00F02389">
        <w:rPr>
          <w:lang w:bidi="ar-SA"/>
        </w:rPr>
        <w:t xml:space="preserve"> the stool</w:t>
      </w:r>
      <w:r w:rsidR="00BC4088">
        <w:rPr>
          <w:lang w:bidi="ar-SA"/>
        </w:rPr>
        <w:t>; and (iv)</w:t>
      </w:r>
      <w:r>
        <w:rPr>
          <w:lang w:bidi="ar-SA"/>
        </w:rPr>
        <w:t xml:space="preserve"> </w:t>
      </w:r>
      <w:r w:rsidR="00F02389">
        <w:rPr>
          <w:lang w:bidi="ar-SA"/>
        </w:rPr>
        <w:t>gas (H</w:t>
      </w:r>
      <w:r w:rsidR="00F02389" w:rsidRPr="00F02389">
        <w:rPr>
          <w:vertAlign w:val="subscript"/>
          <w:lang w:bidi="ar-SA"/>
        </w:rPr>
        <w:t>2</w:t>
      </w:r>
      <w:r w:rsidR="00F02389">
        <w:rPr>
          <w:lang w:bidi="ar-SA"/>
        </w:rPr>
        <w:t>, CH</w:t>
      </w:r>
      <w:r w:rsidR="00F02389" w:rsidRPr="00F02389">
        <w:rPr>
          <w:vertAlign w:val="subscript"/>
          <w:lang w:bidi="ar-SA"/>
        </w:rPr>
        <w:t>4</w:t>
      </w:r>
      <w:r w:rsidR="00F02389">
        <w:rPr>
          <w:lang w:bidi="ar-SA"/>
        </w:rPr>
        <w:t>, and CO</w:t>
      </w:r>
      <w:r w:rsidR="00F02389" w:rsidRPr="00F02389">
        <w:rPr>
          <w:vertAlign w:val="subscript"/>
          <w:lang w:bidi="ar-SA"/>
        </w:rPr>
        <w:t>2</w:t>
      </w:r>
      <w:r w:rsidR="00F02389">
        <w:rPr>
          <w:lang w:bidi="ar-SA"/>
        </w:rPr>
        <w:t>) created by fermentation and trapped within g</w:t>
      </w:r>
      <w:r w:rsidR="008E1DF9">
        <w:rPr>
          <w:lang w:bidi="ar-SA"/>
        </w:rPr>
        <w:t>ut contents</w:t>
      </w:r>
      <w:r w:rsidR="00F02389">
        <w:rPr>
          <w:lang w:bidi="ar-SA"/>
        </w:rPr>
        <w:t xml:space="preserve"> increase</w:t>
      </w:r>
      <w:r w:rsidR="008E1DF9">
        <w:rPr>
          <w:lang w:bidi="ar-SA"/>
        </w:rPr>
        <w:t>s</w:t>
      </w:r>
      <w:r w:rsidR="00F02389">
        <w:rPr>
          <w:lang w:bidi="ar-SA"/>
        </w:rPr>
        <w:t xml:space="preserve"> intestinal bulk.</w:t>
      </w:r>
      <w:r w:rsidR="00CF0D9A">
        <w:rPr>
          <w:lang w:bidi="ar-SA"/>
        </w:rPr>
        <w:t xml:space="preserve"> </w:t>
      </w:r>
      <w:r w:rsidR="00280E29">
        <w:rPr>
          <w:lang w:bidi="ar-SA"/>
        </w:rPr>
        <w:t>It is hypothesised that, t</w:t>
      </w:r>
      <w:r w:rsidR="00CF0D9A">
        <w:rPr>
          <w:lang w:bidi="ar-SA"/>
        </w:rPr>
        <w:t xml:space="preserve">hrough </w:t>
      </w:r>
      <w:r w:rsidR="00280E29">
        <w:rPr>
          <w:lang w:bidi="ar-SA"/>
        </w:rPr>
        <w:t xml:space="preserve">one or more of </w:t>
      </w:r>
      <w:r w:rsidR="00CF0D9A">
        <w:rPr>
          <w:lang w:bidi="ar-SA"/>
        </w:rPr>
        <w:t xml:space="preserve">these </w:t>
      </w:r>
      <w:r w:rsidR="004A7885">
        <w:rPr>
          <w:lang w:bidi="ar-SA"/>
        </w:rPr>
        <w:t xml:space="preserve">potential </w:t>
      </w:r>
      <w:r w:rsidR="00CF0D9A">
        <w:rPr>
          <w:lang w:bidi="ar-SA"/>
        </w:rPr>
        <w:t>mechanisms, fibre</w:t>
      </w:r>
      <w:r w:rsidR="00054F00" w:rsidRPr="00054F00">
        <w:rPr>
          <w:lang w:bidi="ar-SA"/>
        </w:rPr>
        <w:t xml:space="preserve"> </w:t>
      </w:r>
      <w:r w:rsidR="00054F00">
        <w:rPr>
          <w:lang w:bidi="ar-SA"/>
        </w:rPr>
        <w:t>promotes normal laxation by</w:t>
      </w:r>
      <w:r w:rsidR="00CF0D9A">
        <w:rPr>
          <w:lang w:bidi="ar-SA"/>
        </w:rPr>
        <w:t xml:space="preserve"> incr</w:t>
      </w:r>
      <w:r w:rsidR="00054F00">
        <w:rPr>
          <w:lang w:bidi="ar-SA"/>
        </w:rPr>
        <w:t>easing</w:t>
      </w:r>
      <w:r w:rsidR="00CF0D9A">
        <w:rPr>
          <w:lang w:bidi="ar-SA"/>
        </w:rPr>
        <w:t xml:space="preserve"> stool weight (Cummings 2001) and reducing the transit time in the intestinal tract (Slavin 2013).</w:t>
      </w:r>
    </w:p>
    <w:p w14:paraId="3900CB90" w14:textId="120FAB7D" w:rsidR="00C7025A" w:rsidRPr="002802B6" w:rsidRDefault="00C7025A" w:rsidP="008F6642">
      <w:pPr>
        <w:rPr>
          <w:rFonts w:cs="Arial"/>
          <w:szCs w:val="22"/>
          <w:lang w:bidi="ar-SA"/>
        </w:rPr>
      </w:pPr>
    </w:p>
    <w:p w14:paraId="029AA52A" w14:textId="0E80EB07" w:rsidR="005C26DB" w:rsidRPr="002802B6" w:rsidRDefault="00C7025A" w:rsidP="00C26634">
      <w:pPr>
        <w:rPr>
          <w:rFonts w:cs="Arial"/>
          <w:szCs w:val="22"/>
        </w:rPr>
      </w:pPr>
      <w:r w:rsidRPr="002802B6">
        <w:rPr>
          <w:rFonts w:cs="Arial"/>
          <w:szCs w:val="22"/>
          <w:lang w:bidi="ar-SA"/>
        </w:rPr>
        <w:t>Adequate stool</w:t>
      </w:r>
      <w:r w:rsidR="005A4FCF" w:rsidRPr="002802B6">
        <w:rPr>
          <w:rFonts w:cs="Arial"/>
          <w:szCs w:val="22"/>
          <w:lang w:bidi="ar-SA"/>
        </w:rPr>
        <w:t xml:space="preserve"> or faecal</w:t>
      </w:r>
      <w:r w:rsidRPr="002802B6">
        <w:rPr>
          <w:rFonts w:cs="Arial"/>
          <w:szCs w:val="22"/>
          <w:lang w:bidi="ar-SA"/>
        </w:rPr>
        <w:t xml:space="preserve"> weight for a laxative effect</w:t>
      </w:r>
      <w:r w:rsidR="00C26634" w:rsidRPr="002802B6">
        <w:rPr>
          <w:rFonts w:cs="Arial"/>
          <w:szCs w:val="22"/>
          <w:lang w:bidi="ar-SA"/>
        </w:rPr>
        <w:t xml:space="preserve"> </w:t>
      </w:r>
      <w:r w:rsidR="00280E29" w:rsidRPr="002802B6">
        <w:rPr>
          <w:rFonts w:cs="Arial"/>
          <w:szCs w:val="22"/>
          <w:lang w:bidi="ar-SA"/>
        </w:rPr>
        <w:t>may</w:t>
      </w:r>
      <w:r w:rsidR="00E852F3" w:rsidRPr="002802B6">
        <w:rPr>
          <w:rFonts w:cs="Arial"/>
          <w:szCs w:val="22"/>
          <w:lang w:bidi="ar-SA"/>
        </w:rPr>
        <w:t xml:space="preserve"> b</w:t>
      </w:r>
      <w:r w:rsidR="00280E29" w:rsidRPr="002802B6">
        <w:rPr>
          <w:rFonts w:cs="Arial"/>
          <w:szCs w:val="22"/>
          <w:lang w:bidi="ar-SA"/>
        </w:rPr>
        <w:t>e</w:t>
      </w:r>
      <w:r w:rsidR="00E852F3" w:rsidRPr="002802B6">
        <w:rPr>
          <w:rFonts w:cs="Arial"/>
          <w:szCs w:val="22"/>
          <w:lang w:bidi="ar-SA"/>
        </w:rPr>
        <w:t xml:space="preserve"> </w:t>
      </w:r>
      <w:r w:rsidR="00C26634" w:rsidRPr="002802B6">
        <w:rPr>
          <w:rFonts w:cs="Arial"/>
          <w:szCs w:val="22"/>
          <w:lang w:bidi="ar-SA"/>
        </w:rPr>
        <w:t xml:space="preserve">assessed using </w:t>
      </w:r>
      <w:r w:rsidRPr="002802B6">
        <w:rPr>
          <w:rFonts w:cs="Arial"/>
          <w:szCs w:val="22"/>
        </w:rPr>
        <w:t>a benchmark of a greater t</w:t>
      </w:r>
      <w:r w:rsidRPr="00C8689C">
        <w:rPr>
          <w:rFonts w:cs="Arial"/>
          <w:szCs w:val="22"/>
        </w:rPr>
        <w:t>han 1 g increase in faecal wet weight per gram of test fibre consumed</w:t>
      </w:r>
      <w:r w:rsidR="0087583E" w:rsidRPr="00C8689C">
        <w:rPr>
          <w:rFonts w:cs="Arial"/>
          <w:szCs w:val="22"/>
        </w:rPr>
        <w:t xml:space="preserve"> (</w:t>
      </w:r>
      <w:r w:rsidR="006A0DA5">
        <w:rPr>
          <w:rFonts w:cs="Arial"/>
          <w:szCs w:val="22"/>
        </w:rPr>
        <w:t xml:space="preserve">hereon in, </w:t>
      </w:r>
      <w:r w:rsidR="0087583E" w:rsidRPr="00C8689C">
        <w:rPr>
          <w:rFonts w:cs="Arial"/>
          <w:szCs w:val="22"/>
        </w:rPr>
        <w:t>&gt;1 g/g)</w:t>
      </w:r>
      <w:r w:rsidRPr="00C8689C">
        <w:rPr>
          <w:rFonts w:cs="Arial"/>
          <w:szCs w:val="22"/>
        </w:rPr>
        <w:t xml:space="preserve">. </w:t>
      </w:r>
      <w:r w:rsidR="00552606">
        <w:rPr>
          <w:rFonts w:cs="Arial"/>
          <w:szCs w:val="22"/>
        </w:rPr>
        <w:t xml:space="preserve">FSANZ </w:t>
      </w:r>
      <w:r w:rsidR="00554B9C" w:rsidRPr="00C8689C">
        <w:rPr>
          <w:rFonts w:cs="Arial"/>
          <w:szCs w:val="22"/>
        </w:rPr>
        <w:t>used th</w:t>
      </w:r>
      <w:r w:rsidR="00C26634" w:rsidRPr="00C8689C">
        <w:rPr>
          <w:rFonts w:cs="Arial"/>
          <w:szCs w:val="22"/>
        </w:rPr>
        <w:t xml:space="preserve">is benchmark </w:t>
      </w:r>
      <w:r w:rsidR="00280E29" w:rsidRPr="00C8689C">
        <w:rPr>
          <w:rFonts w:cs="Arial"/>
          <w:szCs w:val="22"/>
        </w:rPr>
        <w:t>in</w:t>
      </w:r>
      <w:r w:rsidR="00C8689C" w:rsidRPr="00C8689C">
        <w:rPr>
          <w:rFonts w:cs="Arial"/>
          <w:szCs w:val="22"/>
        </w:rPr>
        <w:t xml:space="preserve"> </w:t>
      </w:r>
      <w:r w:rsidR="002F1D61">
        <w:rPr>
          <w:rFonts w:cs="Arial"/>
          <w:szCs w:val="22"/>
        </w:rPr>
        <w:t xml:space="preserve">the assessment of </w:t>
      </w:r>
      <w:r w:rsidR="00C8689C" w:rsidRPr="00C8689C">
        <w:rPr>
          <w:rFonts w:cs="Arial"/>
          <w:szCs w:val="22"/>
        </w:rPr>
        <w:t xml:space="preserve">two </w:t>
      </w:r>
      <w:r w:rsidR="002F1D61">
        <w:rPr>
          <w:rFonts w:cs="Arial"/>
          <w:szCs w:val="22"/>
        </w:rPr>
        <w:t>previous</w:t>
      </w:r>
      <w:r w:rsidR="00C8689C" w:rsidRPr="00C8689C">
        <w:rPr>
          <w:rFonts w:cs="Arial"/>
          <w:szCs w:val="22"/>
        </w:rPr>
        <w:t xml:space="preserve"> applications:</w:t>
      </w:r>
      <w:r w:rsidR="00280E29" w:rsidRPr="00C8689C">
        <w:rPr>
          <w:rFonts w:cs="Arial"/>
          <w:szCs w:val="22"/>
        </w:rPr>
        <w:t xml:space="preserve"> </w:t>
      </w:r>
      <w:r w:rsidR="00995F04">
        <w:rPr>
          <w:rFonts w:cs="Arial"/>
          <w:szCs w:val="22"/>
        </w:rPr>
        <w:t xml:space="preserve">A1142 - </w:t>
      </w:r>
      <w:hyperlink r:id="rId18" w:history="1">
        <w:r w:rsidR="00995F04" w:rsidRPr="00995F04">
          <w:rPr>
            <w:rStyle w:val="Hyperlink"/>
            <w:rFonts w:cs="Arial"/>
            <w:szCs w:val="22"/>
          </w:rPr>
          <w:t>Addition of Prescribed Method of Analysis for Resistant S</w:t>
        </w:r>
        <w:r w:rsidRPr="00995F04">
          <w:rPr>
            <w:rStyle w:val="Hyperlink"/>
            <w:rFonts w:cs="Arial"/>
            <w:szCs w:val="22"/>
          </w:rPr>
          <w:t>tarch</w:t>
        </w:r>
      </w:hyperlink>
      <w:r w:rsidR="00995F04">
        <w:rPr>
          <w:rFonts w:cs="Arial"/>
          <w:szCs w:val="22"/>
        </w:rPr>
        <w:t>;</w:t>
      </w:r>
      <w:r w:rsidRPr="00C8689C">
        <w:rPr>
          <w:rFonts w:cs="Arial"/>
          <w:szCs w:val="22"/>
        </w:rPr>
        <w:t xml:space="preserve"> </w:t>
      </w:r>
      <w:r w:rsidR="00B53EA1" w:rsidRPr="00C8689C">
        <w:rPr>
          <w:rFonts w:cs="Arial"/>
          <w:szCs w:val="22"/>
        </w:rPr>
        <w:t>and</w:t>
      </w:r>
      <w:r w:rsidR="00995F04">
        <w:rPr>
          <w:rFonts w:cs="Arial"/>
          <w:szCs w:val="22"/>
        </w:rPr>
        <w:t>,</w:t>
      </w:r>
      <w:r w:rsidR="00B53EA1" w:rsidRPr="00C8689C">
        <w:rPr>
          <w:rFonts w:cs="Arial"/>
          <w:szCs w:val="22"/>
        </w:rPr>
        <w:t xml:space="preserve"> </w:t>
      </w:r>
      <w:r w:rsidR="00995F04">
        <w:rPr>
          <w:rFonts w:cs="Arial"/>
          <w:szCs w:val="22"/>
        </w:rPr>
        <w:t>A491 -</w:t>
      </w:r>
      <w:r w:rsidRPr="00C8689C">
        <w:rPr>
          <w:rFonts w:cs="Arial"/>
          <w:szCs w:val="22"/>
        </w:rPr>
        <w:t xml:space="preserve"> </w:t>
      </w:r>
      <w:hyperlink r:id="rId19" w:history="1">
        <w:r w:rsidRPr="00F4390A">
          <w:rPr>
            <w:rStyle w:val="Hyperlink"/>
            <w:rFonts w:cs="Arial"/>
            <w:szCs w:val="22"/>
          </w:rPr>
          <w:t>Resistant maltodextrin as dietary fibre</w:t>
        </w:r>
      </w:hyperlink>
      <w:r w:rsidR="00B53EA1" w:rsidRPr="00C8689C">
        <w:rPr>
          <w:rFonts w:cs="Arial"/>
          <w:szCs w:val="22"/>
        </w:rPr>
        <w:t xml:space="preserve">. </w:t>
      </w:r>
      <w:r w:rsidR="0087583E" w:rsidRPr="00C8689C">
        <w:rPr>
          <w:rFonts w:cs="Arial"/>
          <w:szCs w:val="22"/>
        </w:rPr>
        <w:t xml:space="preserve">A1142 used a benchmark of &gt;1 g/g due to </w:t>
      </w:r>
      <w:r w:rsidR="00554B9C" w:rsidRPr="00C8689C">
        <w:rPr>
          <w:rFonts w:cs="Arial"/>
          <w:szCs w:val="22"/>
        </w:rPr>
        <w:t>a</w:t>
      </w:r>
      <w:r w:rsidR="0087583E" w:rsidRPr="00C8689C">
        <w:rPr>
          <w:rFonts w:cs="Arial"/>
          <w:szCs w:val="22"/>
        </w:rPr>
        <w:t xml:space="preserve"> precedent set by </w:t>
      </w:r>
      <w:r w:rsidR="0087583E" w:rsidRPr="005A0E56">
        <w:rPr>
          <w:rFonts w:cs="Arial"/>
          <w:szCs w:val="22"/>
        </w:rPr>
        <w:t>A491</w:t>
      </w:r>
      <w:r w:rsidR="002802B6" w:rsidRPr="005A0E56">
        <w:rPr>
          <w:rFonts w:cs="Arial"/>
          <w:szCs w:val="22"/>
        </w:rPr>
        <w:t xml:space="preserve"> </w:t>
      </w:r>
      <w:r w:rsidR="005A0E56" w:rsidRPr="005A0E56">
        <w:rPr>
          <w:rFonts w:cs="Arial"/>
          <w:szCs w:val="22"/>
        </w:rPr>
        <w:t>(</w:t>
      </w:r>
      <w:r w:rsidR="00C8689C" w:rsidRPr="005A0E56">
        <w:rPr>
          <w:rFonts w:cs="Arial"/>
          <w:szCs w:val="22"/>
        </w:rPr>
        <w:t xml:space="preserve">FSANZ </w:t>
      </w:r>
      <w:r w:rsidR="005A0E56" w:rsidRPr="005A0E56">
        <w:rPr>
          <w:rFonts w:cs="Arial"/>
          <w:szCs w:val="22"/>
        </w:rPr>
        <w:t>2018)</w:t>
      </w:r>
      <w:r w:rsidR="0087583E" w:rsidRPr="005A0E56">
        <w:rPr>
          <w:rFonts w:cs="Arial"/>
          <w:szCs w:val="22"/>
        </w:rPr>
        <w:t>. A491</w:t>
      </w:r>
      <w:r w:rsidR="0087583E" w:rsidRPr="00C8689C">
        <w:rPr>
          <w:rFonts w:cs="Arial"/>
          <w:szCs w:val="22"/>
        </w:rPr>
        <w:t xml:space="preserve"> states t</w:t>
      </w:r>
      <w:r w:rsidR="002802B6" w:rsidRPr="00C8689C">
        <w:rPr>
          <w:rFonts w:cs="Arial"/>
          <w:szCs w:val="22"/>
        </w:rPr>
        <w:t>his</w:t>
      </w:r>
      <w:r w:rsidR="0087583E" w:rsidRPr="00C8689C">
        <w:rPr>
          <w:rFonts w:cs="Arial"/>
          <w:szCs w:val="22"/>
        </w:rPr>
        <w:t xml:space="preserve"> benchmark</w:t>
      </w:r>
      <w:r w:rsidR="00554B9C" w:rsidRPr="00C8689C">
        <w:rPr>
          <w:rFonts w:cs="Arial"/>
          <w:szCs w:val="22"/>
        </w:rPr>
        <w:t xml:space="preserve"> was used</w:t>
      </w:r>
      <w:r w:rsidR="0087583E" w:rsidRPr="00C8689C">
        <w:rPr>
          <w:rFonts w:cs="Arial"/>
          <w:szCs w:val="22"/>
        </w:rPr>
        <w:t xml:space="preserve"> </w:t>
      </w:r>
      <w:r w:rsidR="00082876" w:rsidRPr="00C8689C">
        <w:rPr>
          <w:rFonts w:cs="Arial"/>
          <w:szCs w:val="22"/>
        </w:rPr>
        <w:t>due to it being established in</w:t>
      </w:r>
      <w:r w:rsidR="0087583E" w:rsidRPr="00C8689C">
        <w:rPr>
          <w:rFonts w:cs="Arial"/>
          <w:szCs w:val="22"/>
        </w:rPr>
        <w:t xml:space="preserve"> </w:t>
      </w:r>
      <w:r w:rsidR="002802B6" w:rsidRPr="00C8689C">
        <w:rPr>
          <w:rFonts w:cs="Arial"/>
          <w:szCs w:val="22"/>
        </w:rPr>
        <w:t>A277, noting</w:t>
      </w:r>
      <w:r w:rsidR="00082876" w:rsidRPr="00C8689C">
        <w:rPr>
          <w:rFonts w:cs="Arial"/>
          <w:szCs w:val="22"/>
        </w:rPr>
        <w:t xml:space="preserve"> “however this benchmark has not been further consolidated as a formal requirement”</w:t>
      </w:r>
      <w:r w:rsidR="002802B6" w:rsidRPr="00C8689C">
        <w:rPr>
          <w:rFonts w:cs="Arial"/>
          <w:szCs w:val="22"/>
        </w:rPr>
        <w:t>. . . “nor have any benchmarks been established in the scientific literature</w:t>
      </w:r>
      <w:r w:rsidR="002802B6" w:rsidRPr="00F4390A">
        <w:rPr>
          <w:rFonts w:cs="Arial"/>
          <w:szCs w:val="22"/>
        </w:rPr>
        <w:t>”</w:t>
      </w:r>
      <w:r w:rsidR="00082876" w:rsidRPr="00F4390A">
        <w:rPr>
          <w:rFonts w:cs="Arial"/>
          <w:szCs w:val="22"/>
        </w:rPr>
        <w:t xml:space="preserve"> </w:t>
      </w:r>
      <w:r w:rsidR="00F4390A" w:rsidRPr="00F4390A">
        <w:rPr>
          <w:rFonts w:cs="Arial"/>
          <w:szCs w:val="22"/>
        </w:rPr>
        <w:t>(</w:t>
      </w:r>
      <w:r w:rsidR="00C8689C" w:rsidRPr="00F4390A">
        <w:rPr>
          <w:rFonts w:cs="Arial"/>
          <w:szCs w:val="22"/>
        </w:rPr>
        <w:t>FSANZ 2</w:t>
      </w:r>
      <w:r w:rsidR="00F4390A" w:rsidRPr="00F4390A">
        <w:rPr>
          <w:rFonts w:cs="Arial"/>
          <w:szCs w:val="22"/>
        </w:rPr>
        <w:t>004, p.</w:t>
      </w:r>
      <w:r w:rsidR="00C8689C" w:rsidRPr="00F4390A">
        <w:rPr>
          <w:rFonts w:cs="Arial"/>
          <w:szCs w:val="22"/>
        </w:rPr>
        <w:t xml:space="preserve"> </w:t>
      </w:r>
      <w:r w:rsidR="00F4390A" w:rsidRPr="00F4390A">
        <w:rPr>
          <w:rFonts w:cs="Arial"/>
          <w:szCs w:val="22"/>
        </w:rPr>
        <w:t>37)</w:t>
      </w:r>
      <w:r w:rsidR="00082876" w:rsidRPr="00F4390A">
        <w:rPr>
          <w:rFonts w:cs="Arial"/>
          <w:szCs w:val="22"/>
        </w:rPr>
        <w:t>.</w:t>
      </w:r>
      <w:r w:rsidR="0087583E" w:rsidRPr="00C8689C">
        <w:rPr>
          <w:rFonts w:cs="Arial"/>
          <w:szCs w:val="22"/>
        </w:rPr>
        <w:t xml:space="preserve"> </w:t>
      </w:r>
      <w:r w:rsidRPr="00C8689C">
        <w:rPr>
          <w:rFonts w:cs="Arial"/>
          <w:szCs w:val="22"/>
        </w:rPr>
        <w:t>A277</w:t>
      </w:r>
      <w:r w:rsidR="0087583E" w:rsidRPr="00C8689C">
        <w:rPr>
          <w:rFonts w:cs="Arial"/>
          <w:szCs w:val="22"/>
        </w:rPr>
        <w:t xml:space="preserve"> </w:t>
      </w:r>
      <w:r w:rsidR="00995F04">
        <w:rPr>
          <w:rFonts w:cs="Arial"/>
          <w:szCs w:val="22"/>
        </w:rPr>
        <w:t>-</w:t>
      </w:r>
      <w:r w:rsidRPr="00C8689C">
        <w:rPr>
          <w:rFonts w:cs="Arial"/>
          <w:szCs w:val="22"/>
        </w:rPr>
        <w:t xml:space="preserve"> </w:t>
      </w:r>
      <w:hyperlink r:id="rId20" w:history="1">
        <w:r w:rsidRPr="00995F04">
          <w:rPr>
            <w:rStyle w:val="Hyperlink"/>
            <w:rFonts w:cs="Arial"/>
            <w:szCs w:val="22"/>
          </w:rPr>
          <w:t xml:space="preserve">Inulin </w:t>
        </w:r>
        <w:r w:rsidR="00B53EA1" w:rsidRPr="00995F04">
          <w:rPr>
            <w:rStyle w:val="Hyperlink"/>
            <w:rFonts w:cs="Arial"/>
            <w:szCs w:val="22"/>
          </w:rPr>
          <w:t xml:space="preserve">as </w:t>
        </w:r>
        <w:r w:rsidR="00995F04" w:rsidRPr="00995F04">
          <w:rPr>
            <w:rStyle w:val="Hyperlink"/>
            <w:rFonts w:cs="Arial"/>
            <w:szCs w:val="22"/>
          </w:rPr>
          <w:t xml:space="preserve">a </w:t>
        </w:r>
        <w:r w:rsidR="00B53EA1" w:rsidRPr="00995F04">
          <w:rPr>
            <w:rStyle w:val="Hyperlink"/>
            <w:rFonts w:cs="Arial"/>
            <w:szCs w:val="22"/>
          </w:rPr>
          <w:t>dietary fibre</w:t>
        </w:r>
      </w:hyperlink>
      <w:r w:rsidR="00E37DD6" w:rsidRPr="00C8689C">
        <w:rPr>
          <w:rFonts w:cs="Arial"/>
          <w:szCs w:val="22"/>
        </w:rPr>
        <w:t xml:space="preserve"> does not </w:t>
      </w:r>
      <w:r w:rsidR="00B53EA1" w:rsidRPr="00C8689C">
        <w:rPr>
          <w:rFonts w:cs="Arial"/>
          <w:szCs w:val="22"/>
        </w:rPr>
        <w:t xml:space="preserve">refer to a </w:t>
      </w:r>
      <w:r w:rsidR="005C26DB" w:rsidRPr="00C8689C">
        <w:rPr>
          <w:rFonts w:cs="Arial"/>
          <w:szCs w:val="22"/>
        </w:rPr>
        <w:t>benchmark</w:t>
      </w:r>
      <w:r w:rsidR="002802B6" w:rsidRPr="00C8689C">
        <w:rPr>
          <w:rFonts w:cs="Arial"/>
          <w:szCs w:val="22"/>
        </w:rPr>
        <w:t xml:space="preserve"> </w:t>
      </w:r>
      <w:r w:rsidR="002802B6" w:rsidRPr="005A0E56">
        <w:rPr>
          <w:rFonts w:cs="Arial"/>
          <w:i/>
          <w:szCs w:val="22"/>
        </w:rPr>
        <w:t>per se</w:t>
      </w:r>
      <w:r w:rsidR="00B53EA1" w:rsidRPr="00C8689C">
        <w:rPr>
          <w:rFonts w:cs="Arial"/>
          <w:szCs w:val="22"/>
        </w:rPr>
        <w:t>. It states</w:t>
      </w:r>
      <w:r w:rsidR="00E76FB5" w:rsidRPr="00C8689C">
        <w:rPr>
          <w:rFonts w:cs="Arial"/>
          <w:szCs w:val="22"/>
        </w:rPr>
        <w:t xml:space="preserve"> that, according to a consensus paper by Van Loo et al. </w:t>
      </w:r>
      <w:r w:rsidR="00995F04">
        <w:rPr>
          <w:rFonts w:cs="Arial"/>
          <w:szCs w:val="22"/>
        </w:rPr>
        <w:t>(</w:t>
      </w:r>
      <w:r w:rsidR="00E76FB5" w:rsidRPr="00C8689C">
        <w:rPr>
          <w:rFonts w:cs="Arial"/>
          <w:szCs w:val="22"/>
        </w:rPr>
        <w:t>1999</w:t>
      </w:r>
      <w:r w:rsidR="00995F04">
        <w:rPr>
          <w:rFonts w:cs="Arial"/>
          <w:szCs w:val="22"/>
        </w:rPr>
        <w:t>)</w:t>
      </w:r>
      <w:r w:rsidR="00E76FB5" w:rsidRPr="00C8689C">
        <w:rPr>
          <w:rFonts w:cs="Arial"/>
          <w:szCs w:val="22"/>
        </w:rPr>
        <w:t>,</w:t>
      </w:r>
      <w:r w:rsidR="00E37DD6" w:rsidRPr="00C8689C">
        <w:rPr>
          <w:rFonts w:cs="Arial"/>
          <w:szCs w:val="22"/>
        </w:rPr>
        <w:t xml:space="preserve"> </w:t>
      </w:r>
      <w:r w:rsidR="00B53EA1" w:rsidRPr="00C8689C">
        <w:rPr>
          <w:rFonts w:cs="Arial"/>
          <w:szCs w:val="22"/>
        </w:rPr>
        <w:t>fructo-oligosaccharide (</w:t>
      </w:r>
      <w:r w:rsidR="00E37DD6" w:rsidRPr="00C8689C">
        <w:rPr>
          <w:rFonts w:cs="Arial"/>
          <w:szCs w:val="22"/>
        </w:rPr>
        <w:t>FOS</w:t>
      </w:r>
      <w:r w:rsidR="00B53EA1" w:rsidRPr="00C8689C">
        <w:rPr>
          <w:rFonts w:cs="Arial"/>
          <w:szCs w:val="22"/>
        </w:rPr>
        <w:t>)</w:t>
      </w:r>
      <w:r w:rsidR="00E37DD6" w:rsidRPr="00C8689C">
        <w:rPr>
          <w:rFonts w:cs="Arial"/>
          <w:szCs w:val="22"/>
        </w:rPr>
        <w:t xml:space="preserve"> </w:t>
      </w:r>
      <w:r w:rsidR="00E76FB5" w:rsidRPr="00C8689C">
        <w:rPr>
          <w:rFonts w:cs="Arial"/>
          <w:szCs w:val="22"/>
        </w:rPr>
        <w:t>intake is associated with</w:t>
      </w:r>
      <w:r w:rsidR="005C26DB" w:rsidRPr="00C8689C">
        <w:rPr>
          <w:rFonts w:cs="Arial"/>
          <w:szCs w:val="22"/>
        </w:rPr>
        <w:t xml:space="preserve"> </w:t>
      </w:r>
      <w:r w:rsidR="00E76FB5" w:rsidRPr="00C8689C">
        <w:rPr>
          <w:rFonts w:cs="Arial"/>
          <w:szCs w:val="22"/>
        </w:rPr>
        <w:t xml:space="preserve">“a mild increase in faecal output comparable to soluble dietary fibres and resistant starch (1-2g faecal weight increase/g FOS ingested at intakes 15-40g/day)” </w:t>
      </w:r>
      <w:r w:rsidR="00E557E0" w:rsidRPr="00E557E0">
        <w:rPr>
          <w:rFonts w:cs="Arial"/>
          <w:szCs w:val="22"/>
        </w:rPr>
        <w:t>(</w:t>
      </w:r>
      <w:r w:rsidR="00C8689C" w:rsidRPr="00E557E0">
        <w:rPr>
          <w:rFonts w:cs="Arial"/>
          <w:szCs w:val="22"/>
        </w:rPr>
        <w:t>FSANZ 2</w:t>
      </w:r>
      <w:r w:rsidR="00E557E0" w:rsidRPr="00E557E0">
        <w:rPr>
          <w:rFonts w:cs="Arial"/>
          <w:szCs w:val="22"/>
        </w:rPr>
        <w:t>001</w:t>
      </w:r>
      <w:r w:rsidR="00E557E0">
        <w:rPr>
          <w:rFonts w:cs="Arial"/>
          <w:szCs w:val="22"/>
        </w:rPr>
        <w:t xml:space="preserve">, p. </w:t>
      </w:r>
      <w:r w:rsidR="00E557E0">
        <w:rPr>
          <w:rFonts w:cs="Arial"/>
          <w:szCs w:val="22"/>
        </w:rPr>
        <w:lastRenderedPageBreak/>
        <w:t>4</w:t>
      </w:r>
      <w:r w:rsidR="00E557E0" w:rsidRPr="00E557E0">
        <w:rPr>
          <w:rFonts w:cs="Arial"/>
          <w:szCs w:val="22"/>
        </w:rPr>
        <w:t>)</w:t>
      </w:r>
      <w:r w:rsidR="005C26DB" w:rsidRPr="00E557E0">
        <w:rPr>
          <w:rFonts w:cs="Arial"/>
          <w:szCs w:val="22"/>
        </w:rPr>
        <w:t>.</w:t>
      </w:r>
      <w:r w:rsidR="00E76FB5" w:rsidRPr="00C8689C">
        <w:rPr>
          <w:rFonts w:cs="Arial"/>
          <w:szCs w:val="22"/>
        </w:rPr>
        <w:t xml:space="preserve"> The faecal outputs of soluble dietary fibres and resistant starch </w:t>
      </w:r>
      <w:r w:rsidR="002A1C39" w:rsidRPr="00C8689C">
        <w:rPr>
          <w:rFonts w:cs="Arial"/>
          <w:szCs w:val="22"/>
        </w:rPr>
        <w:t xml:space="preserve">on which this statement is based, </w:t>
      </w:r>
      <w:r w:rsidR="00E76FB5" w:rsidRPr="00C8689C">
        <w:rPr>
          <w:rFonts w:cs="Arial"/>
          <w:szCs w:val="22"/>
        </w:rPr>
        <w:t>is not outlined or cited.</w:t>
      </w:r>
      <w:r w:rsidR="005C26DB" w:rsidRPr="00C8689C">
        <w:rPr>
          <w:rFonts w:cs="Arial"/>
          <w:szCs w:val="22"/>
        </w:rPr>
        <w:t xml:space="preserve"> Other </w:t>
      </w:r>
      <w:r w:rsidR="001A379D" w:rsidRPr="00C8689C">
        <w:rPr>
          <w:rFonts w:cs="Arial"/>
          <w:szCs w:val="22"/>
        </w:rPr>
        <w:t xml:space="preserve">favourable </w:t>
      </w:r>
      <w:r w:rsidR="005C26DB" w:rsidRPr="00C8689C">
        <w:rPr>
          <w:rFonts w:cs="Arial"/>
          <w:szCs w:val="22"/>
        </w:rPr>
        <w:t>ph</w:t>
      </w:r>
      <w:r w:rsidR="001A379D" w:rsidRPr="00C8689C">
        <w:rPr>
          <w:rFonts w:cs="Arial"/>
          <w:szCs w:val="22"/>
        </w:rPr>
        <w:t>ysiological properties of</w:t>
      </w:r>
      <w:r w:rsidR="005C26DB" w:rsidRPr="00C8689C">
        <w:rPr>
          <w:rFonts w:cs="Arial"/>
          <w:szCs w:val="22"/>
        </w:rPr>
        <w:t xml:space="preserve"> fructans</w:t>
      </w:r>
      <w:r w:rsidR="001A379D" w:rsidRPr="00C8689C">
        <w:rPr>
          <w:rFonts w:cs="Arial"/>
          <w:szCs w:val="22"/>
        </w:rPr>
        <w:t xml:space="preserve"> related to bowel habit and gut flora</w:t>
      </w:r>
      <w:r w:rsidR="005C26DB" w:rsidRPr="00C8689C">
        <w:rPr>
          <w:rFonts w:cs="Arial"/>
          <w:szCs w:val="22"/>
        </w:rPr>
        <w:t xml:space="preserve"> </w:t>
      </w:r>
      <w:r w:rsidR="00B53EA1" w:rsidRPr="00C8689C">
        <w:rPr>
          <w:rFonts w:cs="Arial"/>
          <w:szCs w:val="22"/>
        </w:rPr>
        <w:t>are</w:t>
      </w:r>
      <w:r w:rsidR="005C26DB" w:rsidRPr="00C8689C">
        <w:rPr>
          <w:rFonts w:cs="Arial"/>
          <w:szCs w:val="22"/>
        </w:rPr>
        <w:t xml:space="preserve"> also noted.</w:t>
      </w:r>
    </w:p>
    <w:p w14:paraId="10EB3441" w14:textId="77777777" w:rsidR="005C26DB" w:rsidRPr="002802B6" w:rsidRDefault="005C26DB" w:rsidP="00C26634">
      <w:pPr>
        <w:rPr>
          <w:rFonts w:cs="Arial"/>
          <w:szCs w:val="22"/>
        </w:rPr>
      </w:pPr>
    </w:p>
    <w:p w14:paraId="7820B00C" w14:textId="149C7692" w:rsidR="002A1C39" w:rsidRDefault="00554B9C" w:rsidP="00C26634">
      <w:pPr>
        <w:rPr>
          <w:rFonts w:cs="Arial"/>
        </w:rPr>
      </w:pPr>
      <w:r>
        <w:rPr>
          <w:rFonts w:cs="Arial"/>
        </w:rPr>
        <w:t>Cummings reviewed</w:t>
      </w:r>
      <w:r w:rsidR="006B5962">
        <w:rPr>
          <w:rFonts w:cs="Arial"/>
        </w:rPr>
        <w:t xml:space="preserve"> </w:t>
      </w:r>
      <w:r w:rsidR="00DB4014">
        <w:rPr>
          <w:rFonts w:cs="Arial"/>
        </w:rPr>
        <w:t>about 100 studies</w:t>
      </w:r>
      <w:r w:rsidR="007C6115">
        <w:rPr>
          <w:rFonts w:cs="Arial"/>
        </w:rPr>
        <w:t xml:space="preserve"> published between 1932 and 1984,</w:t>
      </w:r>
      <w:r w:rsidR="001A2635">
        <w:rPr>
          <w:rFonts w:cs="Arial"/>
        </w:rPr>
        <w:t xml:space="preserve"> </w:t>
      </w:r>
      <w:r w:rsidR="00F15499">
        <w:rPr>
          <w:rFonts w:cs="Arial"/>
        </w:rPr>
        <w:t xml:space="preserve">that investigated the </w:t>
      </w:r>
      <w:r w:rsidR="00BC09AB">
        <w:rPr>
          <w:rFonts w:cs="Arial"/>
        </w:rPr>
        <w:t>effect of dietary fibre intake on</w:t>
      </w:r>
      <w:r w:rsidR="00F15499">
        <w:rPr>
          <w:rFonts w:cs="Arial"/>
        </w:rPr>
        <w:t xml:space="preserve"> faecal output. The fibre sources </w:t>
      </w:r>
      <w:r w:rsidR="00BC09AB">
        <w:rPr>
          <w:rFonts w:cs="Arial"/>
        </w:rPr>
        <w:t>were categorised into eight groups:</w:t>
      </w:r>
      <w:r w:rsidR="00F15499">
        <w:rPr>
          <w:rFonts w:cs="Arial"/>
        </w:rPr>
        <w:t xml:space="preserve"> wheat (mainly bran); fruits and vegetables; gums and mucilages; cellulose; oats; corn; legumes; and, pectin (Cummings 2001). Cummings</w:t>
      </w:r>
      <w:r w:rsidR="001A2635">
        <w:rPr>
          <w:rFonts w:cs="Arial"/>
        </w:rPr>
        <w:t xml:space="preserve"> concluded</w:t>
      </w:r>
      <w:r w:rsidR="00DB4014">
        <w:rPr>
          <w:rFonts w:cs="Arial"/>
        </w:rPr>
        <w:t xml:space="preserve"> that all </w:t>
      </w:r>
      <w:r w:rsidR="00BC09AB">
        <w:rPr>
          <w:rFonts w:cs="Arial"/>
        </w:rPr>
        <w:t xml:space="preserve">these </w:t>
      </w:r>
      <w:r w:rsidR="00DB4014">
        <w:rPr>
          <w:rFonts w:cs="Arial"/>
        </w:rPr>
        <w:t>sources of fibre</w:t>
      </w:r>
      <w:r w:rsidR="00F15499">
        <w:rPr>
          <w:rFonts w:cs="Arial"/>
        </w:rPr>
        <w:t xml:space="preserve"> </w:t>
      </w:r>
      <w:r w:rsidR="00DB4014">
        <w:rPr>
          <w:rFonts w:cs="Arial"/>
        </w:rPr>
        <w:t xml:space="preserve">increased faecal output. </w:t>
      </w:r>
      <w:r w:rsidR="001A2635">
        <w:rPr>
          <w:rFonts w:cs="Arial"/>
        </w:rPr>
        <w:t xml:space="preserve">However, </w:t>
      </w:r>
      <w:r w:rsidR="00DB4014">
        <w:rPr>
          <w:rFonts w:cs="Arial"/>
        </w:rPr>
        <w:t>stool weight per gram of fibre consumed varied considerably</w:t>
      </w:r>
      <w:r w:rsidR="00F51A7A">
        <w:rPr>
          <w:rFonts w:cs="Arial"/>
        </w:rPr>
        <w:t xml:space="preserve">. </w:t>
      </w:r>
      <w:r w:rsidR="00AE3E4A">
        <w:rPr>
          <w:rFonts w:cs="Arial"/>
        </w:rPr>
        <w:t xml:space="preserve">Legumes, which the SD1 outlines are high in naturally occurring </w:t>
      </w:r>
      <w:r w:rsidR="00C92EF1">
        <w:rPr>
          <w:rFonts w:cs="Arial"/>
        </w:rPr>
        <w:t>GOS</w:t>
      </w:r>
      <w:r w:rsidR="00AE3E4A">
        <w:rPr>
          <w:rFonts w:cs="Arial"/>
        </w:rPr>
        <w:t>, gave an increase of 2.2 ± 0.3 g (mean ± standard error of the mean, SE) in stool weight per gram of fibre</w:t>
      </w:r>
      <w:r w:rsidR="007F7FBF">
        <w:rPr>
          <w:rFonts w:cs="Arial"/>
        </w:rPr>
        <w:t>,</w:t>
      </w:r>
      <w:r w:rsidR="00AE3E4A">
        <w:rPr>
          <w:rFonts w:cs="Arial"/>
        </w:rPr>
        <w:t xml:space="preserve"> based on 17 studies. </w:t>
      </w:r>
      <w:r w:rsidR="001A2635">
        <w:rPr>
          <w:rFonts w:cs="Arial"/>
        </w:rPr>
        <w:t>The least effective fibre was p</w:t>
      </w:r>
      <w:r w:rsidR="00DB4014">
        <w:rPr>
          <w:rFonts w:cs="Arial"/>
        </w:rPr>
        <w:t xml:space="preserve">ectin </w:t>
      </w:r>
      <w:r w:rsidR="001A2635">
        <w:rPr>
          <w:rFonts w:cs="Arial"/>
        </w:rPr>
        <w:t xml:space="preserve">which gave </w:t>
      </w:r>
      <w:r w:rsidR="00DB4014">
        <w:rPr>
          <w:rFonts w:cs="Arial"/>
        </w:rPr>
        <w:t>an increase</w:t>
      </w:r>
      <w:r w:rsidR="003615ED">
        <w:rPr>
          <w:rFonts w:cs="Arial"/>
        </w:rPr>
        <w:t xml:space="preserve"> in stool weight</w:t>
      </w:r>
      <w:r w:rsidR="00DB4014">
        <w:rPr>
          <w:rFonts w:cs="Arial"/>
        </w:rPr>
        <w:t xml:space="preserve"> of </w:t>
      </w:r>
      <w:r w:rsidR="00E60AED">
        <w:rPr>
          <w:rFonts w:cs="Arial"/>
        </w:rPr>
        <w:t>1.</w:t>
      </w:r>
      <w:r w:rsidR="00A0278F">
        <w:rPr>
          <w:rFonts w:cs="Arial"/>
        </w:rPr>
        <w:t>2</w:t>
      </w:r>
      <w:r w:rsidR="00E60AED">
        <w:rPr>
          <w:rFonts w:cs="Arial"/>
        </w:rPr>
        <w:t xml:space="preserve"> ± 0.3 g</w:t>
      </w:r>
      <w:r w:rsidR="003615ED">
        <w:rPr>
          <w:rFonts w:cs="Arial"/>
        </w:rPr>
        <w:t>/g</w:t>
      </w:r>
      <w:r w:rsidR="00DB4014">
        <w:rPr>
          <w:rFonts w:cs="Arial"/>
        </w:rPr>
        <w:t xml:space="preserve"> of fibre</w:t>
      </w:r>
      <w:r w:rsidR="00BC09AB">
        <w:rPr>
          <w:rFonts w:cs="Arial"/>
        </w:rPr>
        <w:t>,</w:t>
      </w:r>
      <w:r w:rsidR="00A0278F">
        <w:rPr>
          <w:rFonts w:cs="Arial"/>
        </w:rPr>
        <w:t xml:space="preserve"> based on 11 studies. W</w:t>
      </w:r>
      <w:r w:rsidR="00E60AED">
        <w:rPr>
          <w:rFonts w:cs="Arial"/>
        </w:rPr>
        <w:t xml:space="preserve">hereas fruits and </w:t>
      </w:r>
      <w:r w:rsidR="00DB4014">
        <w:rPr>
          <w:rFonts w:cs="Arial"/>
        </w:rPr>
        <w:t>vegetable</w:t>
      </w:r>
      <w:r w:rsidR="00E60AED">
        <w:rPr>
          <w:rFonts w:cs="Arial"/>
        </w:rPr>
        <w:t>s</w:t>
      </w:r>
      <w:r w:rsidR="00DB4014">
        <w:rPr>
          <w:rFonts w:cs="Arial"/>
        </w:rPr>
        <w:t xml:space="preserve">, and </w:t>
      </w:r>
      <w:r w:rsidR="00E60AED">
        <w:rPr>
          <w:rFonts w:cs="Arial"/>
        </w:rPr>
        <w:t xml:space="preserve">wheat (mostly </w:t>
      </w:r>
      <w:r w:rsidR="00DB4014">
        <w:rPr>
          <w:rFonts w:cs="Arial"/>
        </w:rPr>
        <w:t>bran</w:t>
      </w:r>
      <w:r w:rsidR="00E60AED">
        <w:rPr>
          <w:rFonts w:cs="Arial"/>
        </w:rPr>
        <w:t>)</w:t>
      </w:r>
      <w:r w:rsidR="00A0278F">
        <w:rPr>
          <w:rFonts w:cs="Arial"/>
        </w:rPr>
        <w:t>,</w:t>
      </w:r>
      <w:r w:rsidR="00DB4014">
        <w:rPr>
          <w:rFonts w:cs="Arial"/>
        </w:rPr>
        <w:t xml:space="preserve"> had </w:t>
      </w:r>
      <w:r w:rsidR="00F51A7A">
        <w:rPr>
          <w:rFonts w:cs="Arial"/>
        </w:rPr>
        <w:t xml:space="preserve">a </w:t>
      </w:r>
      <w:r w:rsidR="00DB4014">
        <w:rPr>
          <w:rFonts w:cs="Arial"/>
        </w:rPr>
        <w:t xml:space="preserve">four-fold greater impact (an increase of </w:t>
      </w:r>
      <w:r w:rsidR="00E60AED">
        <w:rPr>
          <w:rFonts w:cs="Arial"/>
        </w:rPr>
        <w:t>4.7 ± 0.7</w:t>
      </w:r>
      <w:r w:rsidR="00A0278F">
        <w:rPr>
          <w:rFonts w:cs="Arial"/>
        </w:rPr>
        <w:t xml:space="preserve"> g/g based on 28 studies</w:t>
      </w:r>
      <w:r w:rsidR="00E60AED">
        <w:rPr>
          <w:rFonts w:cs="Arial"/>
        </w:rPr>
        <w:t>, and 5.4 ± 0.7</w:t>
      </w:r>
      <w:r w:rsidR="00DB4014">
        <w:rPr>
          <w:rFonts w:cs="Arial"/>
        </w:rPr>
        <w:t xml:space="preserve"> g/g</w:t>
      </w:r>
      <w:r w:rsidR="00A0278F">
        <w:rPr>
          <w:rFonts w:cs="Arial"/>
        </w:rPr>
        <w:t xml:space="preserve"> based on 41 studies</w:t>
      </w:r>
      <w:r w:rsidR="00DB4014">
        <w:rPr>
          <w:rFonts w:cs="Arial"/>
        </w:rPr>
        <w:t>, respectively).</w:t>
      </w:r>
      <w:r w:rsidR="00E60AED">
        <w:rPr>
          <w:rFonts w:cs="Arial"/>
        </w:rPr>
        <w:t xml:space="preserve"> </w:t>
      </w:r>
      <w:r>
        <w:rPr>
          <w:rFonts w:cs="Arial"/>
        </w:rPr>
        <w:t>A</w:t>
      </w:r>
      <w:r w:rsidR="009476FE">
        <w:rPr>
          <w:rFonts w:cs="Arial"/>
        </w:rPr>
        <w:t xml:space="preserve"> benchmark threshold of</w:t>
      </w:r>
      <w:r w:rsidR="00BA3AE8">
        <w:rPr>
          <w:rFonts w:cs="Arial"/>
        </w:rPr>
        <w:t xml:space="preserve"> &gt;1 g/g</w:t>
      </w:r>
      <w:r w:rsidR="00A0278F">
        <w:rPr>
          <w:rFonts w:cs="Arial"/>
        </w:rPr>
        <w:t xml:space="preserve"> </w:t>
      </w:r>
      <w:r w:rsidR="001A2635">
        <w:rPr>
          <w:rFonts w:cs="Arial"/>
        </w:rPr>
        <w:t xml:space="preserve">therefore </w:t>
      </w:r>
      <w:r w:rsidR="00E60AED">
        <w:rPr>
          <w:rFonts w:cs="Arial"/>
        </w:rPr>
        <w:t xml:space="preserve">aligns with the </w:t>
      </w:r>
      <w:r w:rsidR="00A0278F">
        <w:rPr>
          <w:rFonts w:cs="Arial"/>
        </w:rPr>
        <w:t>l</w:t>
      </w:r>
      <w:r w:rsidR="00BC7DFA">
        <w:rPr>
          <w:rFonts w:cs="Arial"/>
        </w:rPr>
        <w:t xml:space="preserve">east effective source of fibre (pectin) </w:t>
      </w:r>
      <w:r w:rsidR="001A2635">
        <w:rPr>
          <w:rFonts w:cs="Arial"/>
        </w:rPr>
        <w:t>reported</w:t>
      </w:r>
      <w:r w:rsidR="00BC7DFA">
        <w:rPr>
          <w:rFonts w:cs="Arial"/>
        </w:rPr>
        <w:t xml:space="preserve"> by Cummings (2001)</w:t>
      </w:r>
      <w:r w:rsidR="00A0278F">
        <w:rPr>
          <w:rFonts w:cs="Arial"/>
        </w:rPr>
        <w:t>.</w:t>
      </w:r>
      <w:r w:rsidR="002A1C39">
        <w:rPr>
          <w:rFonts w:cs="Arial"/>
        </w:rPr>
        <w:t xml:space="preserve"> This benchmark reflects a laxative effect that is up to </w:t>
      </w:r>
      <w:r w:rsidR="00516D14">
        <w:rPr>
          <w:rFonts w:cs="Arial"/>
        </w:rPr>
        <w:t>five</w:t>
      </w:r>
      <w:r w:rsidR="002A1C39">
        <w:rPr>
          <w:rFonts w:cs="Arial"/>
        </w:rPr>
        <w:t xml:space="preserve"> times lower than the laxative effect of other fibre sources.</w:t>
      </w:r>
    </w:p>
    <w:p w14:paraId="341BE5CC" w14:textId="77777777" w:rsidR="00554B9C" w:rsidRDefault="00554B9C" w:rsidP="00C26634">
      <w:pPr>
        <w:rPr>
          <w:rFonts w:cs="Arial"/>
        </w:rPr>
      </w:pPr>
    </w:p>
    <w:p w14:paraId="2A68FE5C" w14:textId="294DF8C3" w:rsidR="005A4FCF" w:rsidRDefault="007F7FBF" w:rsidP="008F6642">
      <w:pPr>
        <w:rPr>
          <w:lang w:bidi="ar-SA"/>
        </w:rPr>
      </w:pPr>
      <w:r>
        <w:rPr>
          <w:rFonts w:cs="Arial"/>
        </w:rPr>
        <w:t xml:space="preserve">The use of stool weight </w:t>
      </w:r>
      <w:r w:rsidR="00B656CC">
        <w:rPr>
          <w:rFonts w:cs="Arial"/>
        </w:rPr>
        <w:t xml:space="preserve">to evaluate the effect of fibre on laxation </w:t>
      </w:r>
      <w:r w:rsidR="00F85661">
        <w:rPr>
          <w:rFonts w:cs="Arial"/>
        </w:rPr>
        <w:t>has</w:t>
      </w:r>
      <w:r w:rsidR="0002476A">
        <w:rPr>
          <w:rFonts w:cs="Arial"/>
        </w:rPr>
        <w:t xml:space="preserve"> been </w:t>
      </w:r>
      <w:r w:rsidR="00801864">
        <w:rPr>
          <w:rFonts w:cs="Arial"/>
        </w:rPr>
        <w:t>referred to</w:t>
      </w:r>
      <w:r w:rsidR="0002476A">
        <w:rPr>
          <w:rFonts w:cs="Arial"/>
        </w:rPr>
        <w:t xml:space="preserve"> by other agencies such as the National Health and Medical Research Council (NHMRC</w:t>
      </w:r>
      <w:r w:rsidR="00D418CD">
        <w:rPr>
          <w:rFonts w:cs="Arial"/>
        </w:rPr>
        <w:t xml:space="preserve"> 2006</w:t>
      </w:r>
      <w:r w:rsidR="0002476A">
        <w:rPr>
          <w:rFonts w:cs="Arial"/>
        </w:rPr>
        <w:t>)</w:t>
      </w:r>
      <w:r w:rsidR="006D0123">
        <w:rPr>
          <w:rFonts w:cs="Arial"/>
        </w:rPr>
        <w:t xml:space="preserve"> and the </w:t>
      </w:r>
      <w:r w:rsidR="006D0123" w:rsidRPr="00792C2A">
        <w:rPr>
          <w:rFonts w:cs="Arial"/>
          <w:szCs w:val="22"/>
        </w:rPr>
        <w:t>Scientific Advisory Committee on Nutrition (SACN</w:t>
      </w:r>
      <w:r w:rsidR="006D0123">
        <w:rPr>
          <w:rFonts w:cs="Arial"/>
          <w:szCs w:val="22"/>
        </w:rPr>
        <w:t xml:space="preserve"> 2008)</w:t>
      </w:r>
      <w:r w:rsidR="0002476A">
        <w:rPr>
          <w:rFonts w:cs="Arial"/>
          <w:szCs w:val="22"/>
        </w:rPr>
        <w:t xml:space="preserve">. </w:t>
      </w:r>
      <w:r w:rsidR="00896DE3">
        <w:rPr>
          <w:rFonts w:cs="Arial"/>
          <w:szCs w:val="22"/>
        </w:rPr>
        <w:t>In setting Nutrient Reference Values, t</w:t>
      </w:r>
      <w:r w:rsidR="0002476A">
        <w:rPr>
          <w:rFonts w:cs="Arial"/>
          <w:szCs w:val="22"/>
        </w:rPr>
        <w:t>he NHMRC acknowledge t</w:t>
      </w:r>
      <w:r w:rsidR="00896DE3">
        <w:rPr>
          <w:rFonts w:cs="Arial"/>
          <w:szCs w:val="22"/>
        </w:rPr>
        <w:t>hat establishing dietary fibre requirement</w:t>
      </w:r>
      <w:r w:rsidR="0002476A">
        <w:rPr>
          <w:rFonts w:cs="Arial"/>
          <w:szCs w:val="22"/>
        </w:rPr>
        <w:t>s is difficult</w:t>
      </w:r>
      <w:r w:rsidR="00705208">
        <w:rPr>
          <w:rFonts w:cs="Arial"/>
          <w:szCs w:val="22"/>
        </w:rPr>
        <w:t>. They state that i</w:t>
      </w:r>
      <w:r w:rsidR="00896DE3">
        <w:rPr>
          <w:rFonts w:cs="Arial"/>
          <w:szCs w:val="22"/>
        </w:rPr>
        <w:t>n the absence of biochemical markers, clinical endpoints were considered</w:t>
      </w:r>
      <w:r w:rsidR="00516D14">
        <w:rPr>
          <w:rFonts w:cs="Arial"/>
          <w:szCs w:val="22"/>
        </w:rPr>
        <w:t>,</w:t>
      </w:r>
      <w:r w:rsidR="00627F9F">
        <w:rPr>
          <w:rFonts w:cs="Arial"/>
          <w:szCs w:val="22"/>
        </w:rPr>
        <w:t xml:space="preserve"> however,</w:t>
      </w:r>
      <w:r w:rsidR="0002476A">
        <w:rPr>
          <w:rFonts w:cs="Arial"/>
          <w:szCs w:val="22"/>
        </w:rPr>
        <w:t xml:space="preserve"> </w:t>
      </w:r>
      <w:r w:rsidR="00896DE3">
        <w:rPr>
          <w:rFonts w:cs="Arial"/>
          <w:szCs w:val="22"/>
        </w:rPr>
        <w:t>t</w:t>
      </w:r>
      <w:r w:rsidR="0002476A">
        <w:rPr>
          <w:rFonts w:cs="Arial"/>
          <w:szCs w:val="22"/>
        </w:rPr>
        <w:t>he</w:t>
      </w:r>
      <w:r w:rsidR="00261D74">
        <w:rPr>
          <w:rFonts w:cs="Arial"/>
          <w:szCs w:val="22"/>
        </w:rPr>
        <w:t xml:space="preserve"> potential</w:t>
      </w:r>
      <w:r w:rsidR="008D639F">
        <w:rPr>
          <w:rFonts w:cs="Arial"/>
          <w:szCs w:val="22"/>
        </w:rPr>
        <w:t xml:space="preserve"> clinically-related</w:t>
      </w:r>
      <w:r w:rsidR="0002476A">
        <w:rPr>
          <w:rFonts w:cs="Arial"/>
          <w:szCs w:val="22"/>
        </w:rPr>
        <w:t xml:space="preserve"> endpoints </w:t>
      </w:r>
      <w:r w:rsidR="008D639F">
        <w:rPr>
          <w:rFonts w:cs="Arial"/>
          <w:szCs w:val="22"/>
        </w:rPr>
        <w:t>are</w:t>
      </w:r>
      <w:r w:rsidR="00261D74">
        <w:rPr>
          <w:rFonts w:cs="Arial"/>
          <w:szCs w:val="22"/>
        </w:rPr>
        <w:t xml:space="preserve"> ill</w:t>
      </w:r>
      <w:r w:rsidR="0002476A">
        <w:rPr>
          <w:rFonts w:cs="Arial"/>
          <w:szCs w:val="22"/>
        </w:rPr>
        <w:t xml:space="preserve"> defined.</w:t>
      </w:r>
      <w:r w:rsidR="00896DE3">
        <w:rPr>
          <w:rFonts w:cs="Arial"/>
          <w:szCs w:val="22"/>
        </w:rPr>
        <w:t xml:space="preserve"> </w:t>
      </w:r>
      <w:r w:rsidR="0018213D">
        <w:rPr>
          <w:rFonts w:cs="Arial"/>
          <w:szCs w:val="22"/>
        </w:rPr>
        <w:t>T</w:t>
      </w:r>
      <w:r w:rsidR="0002476A">
        <w:rPr>
          <w:rFonts w:cs="Arial"/>
          <w:szCs w:val="22"/>
        </w:rPr>
        <w:t>he NHMRC use</w:t>
      </w:r>
      <w:r w:rsidR="008B4778">
        <w:rPr>
          <w:rFonts w:cs="Arial"/>
          <w:szCs w:val="22"/>
        </w:rPr>
        <w:t>d</w:t>
      </w:r>
      <w:r w:rsidR="0002476A">
        <w:rPr>
          <w:rFonts w:cs="Arial"/>
          <w:szCs w:val="22"/>
        </w:rPr>
        <w:t xml:space="preserve"> </w:t>
      </w:r>
      <w:r w:rsidR="00896DE3">
        <w:rPr>
          <w:rFonts w:cs="Arial"/>
          <w:szCs w:val="22"/>
        </w:rPr>
        <w:t>“adequate gastrointestinal function and adequate laxation rather than reduction of risk for chronic disease</w:t>
      </w:r>
      <w:r w:rsidR="0018213D">
        <w:rPr>
          <w:rFonts w:cs="Arial"/>
          <w:szCs w:val="22"/>
        </w:rPr>
        <w:t>”</w:t>
      </w:r>
      <w:r w:rsidR="0018213D" w:rsidRPr="0018213D">
        <w:rPr>
          <w:rFonts w:cs="Arial"/>
          <w:szCs w:val="22"/>
        </w:rPr>
        <w:t xml:space="preserve"> </w:t>
      </w:r>
      <w:r w:rsidR="0018213D">
        <w:rPr>
          <w:rFonts w:cs="Arial"/>
          <w:szCs w:val="22"/>
        </w:rPr>
        <w:t>to estimate dietary fibre requirements that prevent deficiency states</w:t>
      </w:r>
      <w:r w:rsidR="00EB5EB4">
        <w:rPr>
          <w:rFonts w:cs="Arial"/>
          <w:szCs w:val="22"/>
        </w:rPr>
        <w:t xml:space="preserve"> (</w:t>
      </w:r>
      <w:r w:rsidR="00BD5BD9">
        <w:rPr>
          <w:rFonts w:cs="Arial"/>
          <w:szCs w:val="22"/>
        </w:rPr>
        <w:t>i.e. the Adequate Intake value</w:t>
      </w:r>
      <w:r w:rsidR="00150B25">
        <w:rPr>
          <w:rFonts w:cs="Arial"/>
          <w:szCs w:val="22"/>
        </w:rPr>
        <w:t>s;</w:t>
      </w:r>
      <w:r w:rsidR="00BD5BD9">
        <w:rPr>
          <w:rFonts w:cs="Arial"/>
          <w:szCs w:val="22"/>
        </w:rPr>
        <w:t xml:space="preserve"> </w:t>
      </w:r>
      <w:r w:rsidR="00EB5EB4">
        <w:rPr>
          <w:rFonts w:cs="Arial"/>
          <w:szCs w:val="22"/>
        </w:rPr>
        <w:t xml:space="preserve">NHMRC </w:t>
      </w:r>
      <w:r w:rsidR="00630B37">
        <w:rPr>
          <w:rFonts w:cs="Arial"/>
          <w:szCs w:val="22"/>
        </w:rPr>
        <w:t>2006</w:t>
      </w:r>
      <w:r w:rsidR="00EB5EB4">
        <w:rPr>
          <w:rFonts w:cs="Arial"/>
          <w:szCs w:val="22"/>
        </w:rPr>
        <w:t xml:space="preserve"> p. </w:t>
      </w:r>
      <w:r w:rsidR="00A37A84">
        <w:rPr>
          <w:rFonts w:cs="Arial"/>
          <w:szCs w:val="22"/>
        </w:rPr>
        <w:t>41</w:t>
      </w:r>
      <w:r w:rsidR="00EB5EB4">
        <w:rPr>
          <w:rFonts w:cs="Arial"/>
          <w:szCs w:val="22"/>
        </w:rPr>
        <w:t>)</w:t>
      </w:r>
      <w:r w:rsidR="0018213D">
        <w:rPr>
          <w:rFonts w:cs="Arial"/>
          <w:szCs w:val="22"/>
        </w:rPr>
        <w:t>.</w:t>
      </w:r>
      <w:r w:rsidR="00896DE3">
        <w:rPr>
          <w:rFonts w:cs="Arial"/>
          <w:szCs w:val="22"/>
        </w:rPr>
        <w:t xml:space="preserve"> Change in stool weight</w:t>
      </w:r>
      <w:r w:rsidR="00705208">
        <w:rPr>
          <w:rFonts w:cs="Arial"/>
          <w:szCs w:val="22"/>
        </w:rPr>
        <w:t xml:space="preserve"> </w:t>
      </w:r>
      <w:r w:rsidR="00BC31F7">
        <w:rPr>
          <w:rFonts w:cs="Arial"/>
          <w:szCs w:val="22"/>
        </w:rPr>
        <w:t>is discussed by the NHMRC but does not appear to have been used in establishing the dietary fibre Nutrient Reference Values</w:t>
      </w:r>
      <w:r w:rsidR="00261D74">
        <w:rPr>
          <w:rFonts w:cs="Arial"/>
          <w:szCs w:val="22"/>
        </w:rPr>
        <w:t xml:space="preserve">. </w:t>
      </w:r>
      <w:r w:rsidR="00170531">
        <w:rPr>
          <w:rFonts w:cs="Arial"/>
          <w:szCs w:val="22"/>
        </w:rPr>
        <w:t>The NHMRC state that a</w:t>
      </w:r>
      <w:r w:rsidR="00BC31F7">
        <w:rPr>
          <w:rFonts w:cs="Arial"/>
          <w:szCs w:val="22"/>
        </w:rPr>
        <w:t>n increased stool weight</w:t>
      </w:r>
      <w:r w:rsidR="00261D74">
        <w:rPr>
          <w:rFonts w:cs="Arial"/>
          <w:szCs w:val="22"/>
        </w:rPr>
        <w:t xml:space="preserve"> </w:t>
      </w:r>
      <w:r w:rsidR="00170531">
        <w:rPr>
          <w:rFonts w:cs="Arial"/>
          <w:szCs w:val="22"/>
        </w:rPr>
        <w:t xml:space="preserve">alone </w:t>
      </w:r>
      <w:r w:rsidR="00261D74">
        <w:rPr>
          <w:rFonts w:cs="Arial"/>
          <w:szCs w:val="22"/>
        </w:rPr>
        <w:t>does not</w:t>
      </w:r>
      <w:r w:rsidR="00BC31F7">
        <w:rPr>
          <w:rFonts w:cs="Arial"/>
          <w:szCs w:val="22"/>
        </w:rPr>
        <w:t xml:space="preserve"> guarantee improved laxation</w:t>
      </w:r>
      <w:r w:rsidR="004164EE">
        <w:rPr>
          <w:rFonts w:cs="Arial"/>
          <w:szCs w:val="22"/>
        </w:rPr>
        <w:t xml:space="preserve">. </w:t>
      </w:r>
      <w:r w:rsidR="004164EE" w:rsidRPr="004164EE">
        <w:rPr>
          <w:rFonts w:cs="Arial"/>
          <w:szCs w:val="22"/>
        </w:rPr>
        <w:t>T</w:t>
      </w:r>
      <w:r w:rsidR="00261D74" w:rsidRPr="004164EE">
        <w:rPr>
          <w:rFonts w:cs="Arial"/>
          <w:szCs w:val="22"/>
        </w:rPr>
        <w:t>he NHMRC did not set an E</w:t>
      </w:r>
      <w:r w:rsidR="00627F9F" w:rsidRPr="004164EE">
        <w:rPr>
          <w:rFonts w:cs="Arial"/>
          <w:szCs w:val="22"/>
        </w:rPr>
        <w:t xml:space="preserve">stimated Average Requirement </w:t>
      </w:r>
      <w:r w:rsidR="00261D74" w:rsidRPr="004164EE">
        <w:rPr>
          <w:rFonts w:cs="Arial"/>
          <w:szCs w:val="22"/>
        </w:rPr>
        <w:t>and instead established an A</w:t>
      </w:r>
      <w:r w:rsidR="00627F9F" w:rsidRPr="004164EE">
        <w:rPr>
          <w:rFonts w:cs="Arial"/>
          <w:szCs w:val="22"/>
        </w:rPr>
        <w:t>dequate</w:t>
      </w:r>
      <w:r w:rsidR="00627F9F">
        <w:rPr>
          <w:rFonts w:cs="Arial"/>
          <w:szCs w:val="22"/>
        </w:rPr>
        <w:t xml:space="preserve"> Intake</w:t>
      </w:r>
      <w:r w:rsidR="00261D74">
        <w:rPr>
          <w:rFonts w:cs="Arial"/>
          <w:szCs w:val="22"/>
        </w:rPr>
        <w:t xml:space="preserve"> derived from median intakes in populations where laxat</w:t>
      </w:r>
      <w:r w:rsidR="0096211E">
        <w:rPr>
          <w:rFonts w:cs="Arial"/>
          <w:szCs w:val="22"/>
        </w:rPr>
        <w:t xml:space="preserve">ion problems are not </w:t>
      </w:r>
      <w:r w:rsidR="00261D74">
        <w:rPr>
          <w:rFonts w:cs="Arial"/>
          <w:szCs w:val="22"/>
        </w:rPr>
        <w:t>common.</w:t>
      </w:r>
      <w:r w:rsidR="00627F9F">
        <w:rPr>
          <w:rFonts w:cs="Arial"/>
          <w:szCs w:val="22"/>
        </w:rPr>
        <w:t xml:space="preserve"> </w:t>
      </w:r>
      <w:r w:rsidR="009213F9">
        <w:rPr>
          <w:rFonts w:cs="Arial"/>
          <w:szCs w:val="22"/>
        </w:rPr>
        <w:t xml:space="preserve">The Adequate Intake </w:t>
      </w:r>
      <w:r w:rsidR="00775B5E">
        <w:rPr>
          <w:rFonts w:cs="Arial"/>
          <w:szCs w:val="22"/>
        </w:rPr>
        <w:t xml:space="preserve">is 30 g and 25 g per day </w:t>
      </w:r>
      <w:r w:rsidR="009213F9">
        <w:rPr>
          <w:rFonts w:cs="Arial"/>
          <w:szCs w:val="22"/>
        </w:rPr>
        <w:t xml:space="preserve">for men and women (not pregnant or lactating) aged 19 years or older. </w:t>
      </w:r>
      <w:r w:rsidR="00627F9F">
        <w:rPr>
          <w:rFonts w:cs="Arial"/>
          <w:szCs w:val="22"/>
        </w:rPr>
        <w:t>The NHMRC note</w:t>
      </w:r>
      <w:r w:rsidR="00BB3B23">
        <w:rPr>
          <w:rFonts w:cs="Arial"/>
          <w:szCs w:val="22"/>
        </w:rPr>
        <w:t>d</w:t>
      </w:r>
      <w:r w:rsidR="00627F9F">
        <w:rPr>
          <w:rFonts w:cs="Arial"/>
          <w:szCs w:val="22"/>
        </w:rPr>
        <w:t xml:space="preserve"> that </w:t>
      </w:r>
      <w:r w:rsidR="008D639F">
        <w:rPr>
          <w:rFonts w:cs="Arial"/>
          <w:szCs w:val="22"/>
        </w:rPr>
        <w:t xml:space="preserve">a </w:t>
      </w:r>
      <w:r w:rsidR="00627F9F">
        <w:rPr>
          <w:rFonts w:cs="Arial"/>
          <w:szCs w:val="22"/>
        </w:rPr>
        <w:t xml:space="preserve">dietary fibre intake higher than the Adequate Intake may </w:t>
      </w:r>
      <w:r w:rsidR="00A4253D">
        <w:rPr>
          <w:rFonts w:cs="Arial"/>
          <w:szCs w:val="22"/>
        </w:rPr>
        <w:t xml:space="preserve">reduce the risk of obesity and </w:t>
      </w:r>
      <w:r w:rsidR="00627F9F">
        <w:rPr>
          <w:rFonts w:cs="Arial"/>
          <w:szCs w:val="22"/>
        </w:rPr>
        <w:t>chronic disease.</w:t>
      </w:r>
      <w:r w:rsidR="0096211E">
        <w:rPr>
          <w:rFonts w:cs="Arial"/>
          <w:szCs w:val="22"/>
        </w:rPr>
        <w:t xml:space="preserve"> </w:t>
      </w:r>
      <w:r w:rsidR="00165E9D">
        <w:rPr>
          <w:rFonts w:cs="Arial"/>
          <w:szCs w:val="22"/>
        </w:rPr>
        <w:t>The NH</w:t>
      </w:r>
      <w:r w:rsidR="00663C75">
        <w:rPr>
          <w:rFonts w:cs="Arial"/>
          <w:szCs w:val="22"/>
        </w:rPr>
        <w:t>M</w:t>
      </w:r>
      <w:r w:rsidR="00165E9D">
        <w:rPr>
          <w:rFonts w:cs="Arial"/>
          <w:szCs w:val="22"/>
        </w:rPr>
        <w:t>RC outline the association between dietary fibre intake and the risk of obesity, cardiovascular disease, diabetes</w:t>
      </w:r>
      <w:r w:rsidR="00A37A84">
        <w:rPr>
          <w:rFonts w:cs="Arial"/>
          <w:szCs w:val="22"/>
        </w:rPr>
        <w:t>,</w:t>
      </w:r>
      <w:r w:rsidR="00165E9D">
        <w:rPr>
          <w:rFonts w:cs="Arial"/>
          <w:szCs w:val="22"/>
        </w:rPr>
        <w:t xml:space="preserve"> and some cancers. The Suggested Dietary Target proposes a dietary fibre intake to reduce the risk of coronary heart disease: 38 g and 28 g per day for men and women, respectively</w:t>
      </w:r>
      <w:r w:rsidR="00165E9D" w:rsidRPr="00F85661">
        <w:rPr>
          <w:rFonts w:cs="Arial"/>
          <w:szCs w:val="22"/>
        </w:rPr>
        <w:t>.</w:t>
      </w:r>
    </w:p>
    <w:p w14:paraId="597941E5" w14:textId="77777777" w:rsidR="00087F13" w:rsidRDefault="00087F13" w:rsidP="008F6642">
      <w:pPr>
        <w:rPr>
          <w:lang w:bidi="ar-SA"/>
        </w:rPr>
      </w:pPr>
    </w:p>
    <w:p w14:paraId="474AC8A4" w14:textId="27D6EADC" w:rsidR="00BB68F1" w:rsidRDefault="003D7003" w:rsidP="0073104D">
      <w:pPr>
        <w:pStyle w:val="Heading2"/>
      </w:pPr>
      <w:bookmarkStart w:id="11" w:name="_Toc64561457"/>
      <w:bookmarkStart w:id="12" w:name="_Toc66868359"/>
      <w:r>
        <w:t>1</w:t>
      </w:r>
      <w:r w:rsidR="00C2458B">
        <w:t>.2.2</w:t>
      </w:r>
      <w:r w:rsidR="00BB68F1" w:rsidRPr="00B52107">
        <w:t xml:space="preserve"> </w:t>
      </w:r>
      <w:r w:rsidR="00D43803">
        <w:t>Assessment: results</w:t>
      </w:r>
      <w:bookmarkEnd w:id="11"/>
      <w:bookmarkEnd w:id="12"/>
    </w:p>
    <w:p w14:paraId="7E095431" w14:textId="626EDC99" w:rsidR="001E5392" w:rsidRDefault="00471941" w:rsidP="008F6642">
      <w:pPr>
        <w:rPr>
          <w:rFonts w:cs="Arial"/>
        </w:rPr>
      </w:pPr>
      <w:r>
        <w:rPr>
          <w:rFonts w:cs="Arial"/>
        </w:rPr>
        <w:t>Three</w:t>
      </w:r>
      <w:r w:rsidR="003A53E5">
        <w:rPr>
          <w:rFonts w:cs="Arial"/>
        </w:rPr>
        <w:t xml:space="preserve"> studies</w:t>
      </w:r>
      <w:r>
        <w:rPr>
          <w:rFonts w:cs="Arial"/>
        </w:rPr>
        <w:t xml:space="preserve"> are reviewed </w:t>
      </w:r>
      <w:r w:rsidR="00C61CF2">
        <w:rPr>
          <w:rFonts w:cs="Arial"/>
        </w:rPr>
        <w:t>here</w:t>
      </w:r>
      <w:r w:rsidR="00101A77">
        <w:rPr>
          <w:rFonts w:cs="Arial"/>
        </w:rPr>
        <w:t>,</w:t>
      </w:r>
      <w:r>
        <w:rPr>
          <w:rFonts w:cs="Arial"/>
        </w:rPr>
        <w:t xml:space="preserve"> to evaluate</w:t>
      </w:r>
      <w:r w:rsidR="003A53E5">
        <w:rPr>
          <w:rFonts w:cs="Arial"/>
        </w:rPr>
        <w:t xml:space="preserve"> the relationship between </w:t>
      </w:r>
      <w:r w:rsidR="0028316D">
        <w:rPr>
          <w:rFonts w:cs="Arial"/>
        </w:rPr>
        <w:t xml:space="preserve">added </w:t>
      </w:r>
      <w:r w:rsidR="00C92EF1">
        <w:rPr>
          <w:rFonts w:cs="Arial"/>
        </w:rPr>
        <w:t>GOS</w:t>
      </w:r>
      <w:r w:rsidR="003A53E5">
        <w:rPr>
          <w:rFonts w:cs="Arial"/>
        </w:rPr>
        <w:t xml:space="preserve"> intake</w:t>
      </w:r>
      <w:r w:rsidR="00CB6865">
        <w:rPr>
          <w:rFonts w:cs="Arial"/>
        </w:rPr>
        <w:t>,</w:t>
      </w:r>
      <w:r w:rsidR="003A53E5">
        <w:rPr>
          <w:rFonts w:cs="Arial"/>
        </w:rPr>
        <w:t xml:space="preserve"> </w:t>
      </w:r>
      <w:r w:rsidR="006E4BE1">
        <w:rPr>
          <w:rFonts w:cs="Arial"/>
        </w:rPr>
        <w:t xml:space="preserve">and </w:t>
      </w:r>
      <w:r w:rsidR="00CB6865">
        <w:rPr>
          <w:rFonts w:cs="Arial"/>
        </w:rPr>
        <w:t xml:space="preserve">absolute and relative </w:t>
      </w:r>
      <w:r w:rsidR="00132F17">
        <w:rPr>
          <w:rFonts w:cs="Arial"/>
        </w:rPr>
        <w:t xml:space="preserve">change </w:t>
      </w:r>
      <w:r w:rsidR="00037BB5">
        <w:rPr>
          <w:rFonts w:cs="Arial"/>
        </w:rPr>
        <w:t>in</w:t>
      </w:r>
      <w:r w:rsidR="00132F17">
        <w:rPr>
          <w:rFonts w:cs="Arial"/>
        </w:rPr>
        <w:t xml:space="preserve"> </w:t>
      </w:r>
      <w:r w:rsidR="008363DC">
        <w:rPr>
          <w:rFonts w:cs="Arial"/>
        </w:rPr>
        <w:t>stoo</w:t>
      </w:r>
      <w:r w:rsidR="006E4BE1">
        <w:rPr>
          <w:rFonts w:cs="Arial"/>
        </w:rPr>
        <w:t>l weight</w:t>
      </w:r>
      <w:r w:rsidR="00CB6865">
        <w:rPr>
          <w:rFonts w:cs="Arial"/>
        </w:rPr>
        <w:t xml:space="preserve">. Relative change </w:t>
      </w:r>
      <w:r w:rsidR="00037BB5">
        <w:rPr>
          <w:rFonts w:cs="Arial"/>
        </w:rPr>
        <w:t>in</w:t>
      </w:r>
      <w:r w:rsidR="00CB6865">
        <w:rPr>
          <w:rFonts w:cs="Arial"/>
        </w:rPr>
        <w:t xml:space="preserve"> </w:t>
      </w:r>
      <w:r w:rsidR="00BA677F">
        <w:rPr>
          <w:rFonts w:cs="Arial"/>
        </w:rPr>
        <w:t>stool</w:t>
      </w:r>
      <w:r w:rsidR="00CB6865">
        <w:rPr>
          <w:rFonts w:cs="Arial"/>
        </w:rPr>
        <w:t xml:space="preserve"> weight is the absolute</w:t>
      </w:r>
      <w:r w:rsidR="00FB68F6">
        <w:rPr>
          <w:rFonts w:cs="Arial"/>
        </w:rPr>
        <w:t xml:space="preserve"> change</w:t>
      </w:r>
      <w:r w:rsidR="00CB6865">
        <w:rPr>
          <w:rFonts w:cs="Arial"/>
        </w:rPr>
        <w:t xml:space="preserve"> </w:t>
      </w:r>
      <w:r w:rsidR="006671D3">
        <w:rPr>
          <w:rFonts w:cs="Arial"/>
        </w:rPr>
        <w:t>relative to the intake</w:t>
      </w:r>
      <w:r w:rsidR="00132F17">
        <w:rPr>
          <w:rFonts w:cs="Arial"/>
        </w:rPr>
        <w:t xml:space="preserve"> l</w:t>
      </w:r>
      <w:r w:rsidR="00BA677F">
        <w:rPr>
          <w:rFonts w:cs="Arial"/>
        </w:rPr>
        <w:t>evel of</w:t>
      </w:r>
      <w:r w:rsidR="00FA112D">
        <w:rPr>
          <w:rFonts w:cs="Arial"/>
        </w:rPr>
        <w:t xml:space="preserve"> added</w:t>
      </w:r>
      <w:r w:rsidR="00BA677F">
        <w:rPr>
          <w:rFonts w:cs="Arial"/>
        </w:rPr>
        <w:t xml:space="preserve"> </w:t>
      </w:r>
      <w:r w:rsidR="00C92EF1">
        <w:rPr>
          <w:rFonts w:cs="Arial"/>
        </w:rPr>
        <w:t>GOS</w:t>
      </w:r>
      <w:r w:rsidR="006E4BE1">
        <w:rPr>
          <w:rFonts w:cs="Arial"/>
        </w:rPr>
        <w:t>.</w:t>
      </w:r>
      <w:r w:rsidR="002E3971">
        <w:rPr>
          <w:rFonts w:cs="Arial"/>
        </w:rPr>
        <w:t xml:space="preserve"> </w:t>
      </w:r>
      <w:r w:rsidR="006E4BE1">
        <w:rPr>
          <w:rFonts w:cs="Arial"/>
        </w:rPr>
        <w:t xml:space="preserve">We compared the </w:t>
      </w:r>
      <w:r w:rsidR="00EC2A6B">
        <w:rPr>
          <w:rFonts w:cs="Arial"/>
        </w:rPr>
        <w:t xml:space="preserve">studies’ </w:t>
      </w:r>
      <w:r w:rsidR="00280E29">
        <w:rPr>
          <w:rFonts w:cs="Arial"/>
        </w:rPr>
        <w:t xml:space="preserve">relative change </w:t>
      </w:r>
      <w:r w:rsidR="00EC2A6B">
        <w:rPr>
          <w:rFonts w:cs="Arial"/>
        </w:rPr>
        <w:t>findings</w:t>
      </w:r>
      <w:r w:rsidR="003A53E5">
        <w:rPr>
          <w:rFonts w:cs="Arial"/>
        </w:rPr>
        <w:t xml:space="preserve"> against a benchmark of </w:t>
      </w:r>
      <w:r w:rsidR="003A53E5" w:rsidRPr="00B4577F">
        <w:rPr>
          <w:rFonts w:cs="Arial"/>
        </w:rPr>
        <w:t xml:space="preserve">greater than 1 g </w:t>
      </w:r>
      <w:r w:rsidR="002A1C39">
        <w:rPr>
          <w:rFonts w:cs="Arial"/>
        </w:rPr>
        <w:t xml:space="preserve">and 5 g </w:t>
      </w:r>
      <w:r w:rsidR="003A53E5" w:rsidRPr="00B4577F">
        <w:rPr>
          <w:rFonts w:cs="Arial"/>
        </w:rPr>
        <w:t>increase in fa</w:t>
      </w:r>
      <w:r w:rsidR="000B206D">
        <w:rPr>
          <w:rFonts w:cs="Arial"/>
        </w:rPr>
        <w:t xml:space="preserve">ecal wet weight per gram of </w:t>
      </w:r>
      <w:r w:rsidR="00FA112D">
        <w:rPr>
          <w:rFonts w:cs="Arial"/>
        </w:rPr>
        <w:t xml:space="preserve">added </w:t>
      </w:r>
      <w:r w:rsidR="00C92EF1">
        <w:rPr>
          <w:rFonts w:cs="Arial"/>
        </w:rPr>
        <w:t>GOS</w:t>
      </w:r>
      <w:r w:rsidR="00280E29">
        <w:rPr>
          <w:rFonts w:cs="Arial"/>
        </w:rPr>
        <w:t xml:space="preserve"> (</w:t>
      </w:r>
      <w:r w:rsidR="00676019">
        <w:rPr>
          <w:rFonts w:cs="Arial"/>
        </w:rPr>
        <w:t xml:space="preserve">hereon </w:t>
      </w:r>
      <w:r w:rsidR="002A1C39">
        <w:rPr>
          <w:rFonts w:cs="Arial"/>
        </w:rPr>
        <w:t xml:space="preserve">in, </w:t>
      </w:r>
      <w:r w:rsidR="00280E29">
        <w:rPr>
          <w:rFonts w:cs="Arial"/>
        </w:rPr>
        <w:t>&gt;1 g/g</w:t>
      </w:r>
      <w:r w:rsidR="002A1C39">
        <w:rPr>
          <w:rFonts w:cs="Arial"/>
        </w:rPr>
        <w:t xml:space="preserve"> and &gt;5 g/g</w:t>
      </w:r>
      <w:r w:rsidR="00280E29">
        <w:rPr>
          <w:rFonts w:cs="Arial"/>
        </w:rPr>
        <w:t>)</w:t>
      </w:r>
      <w:r w:rsidR="003A53E5">
        <w:rPr>
          <w:rFonts w:cs="Arial"/>
        </w:rPr>
        <w:t>.</w:t>
      </w:r>
      <w:r w:rsidR="00B00910">
        <w:rPr>
          <w:rFonts w:cs="Arial"/>
        </w:rPr>
        <w:t xml:space="preserve"> </w:t>
      </w:r>
      <w:r w:rsidR="002A1C39">
        <w:rPr>
          <w:rFonts w:cs="Arial"/>
        </w:rPr>
        <w:t xml:space="preserve">This aligns with the least and most effective source of fibre on stool weight (pectin and wheat, mostly bran, respectively; Cummings </w:t>
      </w:r>
      <w:r w:rsidR="002A1C39" w:rsidRPr="00DA57E2">
        <w:rPr>
          <w:rFonts w:cs="Arial"/>
          <w:szCs w:val="22"/>
        </w:rPr>
        <w:t xml:space="preserve">2001). </w:t>
      </w:r>
      <w:r w:rsidR="00280E29" w:rsidRPr="00DA57E2">
        <w:rPr>
          <w:rFonts w:cs="Arial"/>
          <w:szCs w:val="22"/>
        </w:rPr>
        <w:t>Each study</w:t>
      </w:r>
      <w:r w:rsidR="00BA677F" w:rsidRPr="00DA57E2">
        <w:rPr>
          <w:rFonts w:cs="Arial"/>
          <w:szCs w:val="22"/>
        </w:rPr>
        <w:t xml:space="preserve"> had a small sample size</w:t>
      </w:r>
      <w:r w:rsidR="00280E29" w:rsidRPr="00DA57E2">
        <w:rPr>
          <w:rFonts w:cs="Arial"/>
          <w:szCs w:val="22"/>
        </w:rPr>
        <w:t xml:space="preserve"> (n=12 for both crossover studies conducted by Ito et al. 1990, and van Dokkum et al. 1999; n=40 for the parallel controlled trial by Alles et al. 1999)</w:t>
      </w:r>
      <w:r w:rsidR="00EE4690" w:rsidRPr="00DA57E2">
        <w:rPr>
          <w:rFonts w:cs="Arial"/>
          <w:szCs w:val="22"/>
        </w:rPr>
        <w:t>.</w:t>
      </w:r>
      <w:r w:rsidR="00263BC8" w:rsidRPr="00DA57E2">
        <w:rPr>
          <w:rFonts w:cs="Arial"/>
          <w:szCs w:val="22"/>
        </w:rPr>
        <w:t xml:space="preserve"> </w:t>
      </w:r>
      <w:r w:rsidR="00DA57E2" w:rsidRPr="00DA57E2">
        <w:rPr>
          <w:rFonts w:cs="Arial"/>
          <w:szCs w:val="22"/>
          <w:lang w:bidi="ar-SA"/>
        </w:rPr>
        <w:t xml:space="preserve">Randomisation was not stated for one crossover </w:t>
      </w:r>
      <w:r w:rsidR="00037BB5">
        <w:rPr>
          <w:rFonts w:cs="Arial"/>
          <w:szCs w:val="22"/>
          <w:lang w:bidi="ar-SA"/>
        </w:rPr>
        <w:t xml:space="preserve">trial </w:t>
      </w:r>
      <w:r w:rsidR="00DA57E2" w:rsidRPr="00DA57E2">
        <w:rPr>
          <w:rFonts w:cs="Arial"/>
          <w:szCs w:val="22"/>
          <w:lang w:bidi="ar-SA"/>
        </w:rPr>
        <w:t xml:space="preserve">(Ito et al. 1990) and one parallel controlled trial (Alles et al. 1999); we contacted </w:t>
      </w:r>
      <w:r w:rsidR="001F775B">
        <w:rPr>
          <w:rFonts w:cs="Arial"/>
          <w:szCs w:val="22"/>
          <w:lang w:bidi="ar-SA"/>
        </w:rPr>
        <w:t xml:space="preserve">the corresponding </w:t>
      </w:r>
      <w:r w:rsidR="00DA57E2" w:rsidRPr="00DA57E2">
        <w:rPr>
          <w:rFonts w:cs="Arial"/>
          <w:szCs w:val="22"/>
          <w:lang w:bidi="ar-SA"/>
        </w:rPr>
        <w:t xml:space="preserve">authors for clarification but </w:t>
      </w:r>
      <w:r w:rsidR="001F775B">
        <w:rPr>
          <w:rFonts w:cs="Arial"/>
          <w:szCs w:val="22"/>
          <w:lang w:bidi="ar-SA"/>
        </w:rPr>
        <w:t xml:space="preserve">received no </w:t>
      </w:r>
      <w:r w:rsidR="001F775B">
        <w:rPr>
          <w:rFonts w:cs="Arial"/>
          <w:szCs w:val="22"/>
          <w:lang w:bidi="ar-SA"/>
        </w:rPr>
        <w:lastRenderedPageBreak/>
        <w:t>response</w:t>
      </w:r>
      <w:r w:rsidR="00DA57E2" w:rsidRPr="00DA57E2">
        <w:rPr>
          <w:rFonts w:cs="Arial"/>
          <w:szCs w:val="22"/>
          <w:lang w:bidi="ar-SA"/>
        </w:rPr>
        <w:t xml:space="preserve">. </w:t>
      </w:r>
      <w:r w:rsidR="00BB3B23">
        <w:rPr>
          <w:rFonts w:cs="Arial"/>
          <w:szCs w:val="22"/>
          <w:lang w:bidi="ar-SA"/>
        </w:rPr>
        <w:t>E</w:t>
      </w:r>
      <w:r w:rsidR="00BB3B23">
        <w:rPr>
          <w:rFonts w:cs="Arial"/>
        </w:rPr>
        <w:t>ach studies’ results</w:t>
      </w:r>
      <w:r w:rsidR="00BA677F">
        <w:rPr>
          <w:rFonts w:cs="Arial"/>
        </w:rPr>
        <w:t xml:space="preserve"> are summarised in Table </w:t>
      </w:r>
      <w:r w:rsidR="00A65AE0">
        <w:rPr>
          <w:rFonts w:cs="Arial"/>
        </w:rPr>
        <w:t>2</w:t>
      </w:r>
      <w:r w:rsidR="00513AC7">
        <w:rPr>
          <w:rFonts w:cs="Arial"/>
        </w:rPr>
        <w:t>. We report</w:t>
      </w:r>
      <w:r w:rsidR="00BA677F">
        <w:rPr>
          <w:rFonts w:cs="Arial"/>
        </w:rPr>
        <w:t xml:space="preserve"> </w:t>
      </w:r>
      <w:r w:rsidR="00263BC8">
        <w:rPr>
          <w:rFonts w:cs="Arial"/>
        </w:rPr>
        <w:t>the methodology of our review and the</w:t>
      </w:r>
      <w:r w:rsidR="008363DC">
        <w:rPr>
          <w:rFonts w:cs="Arial"/>
        </w:rPr>
        <w:t xml:space="preserve"> </w:t>
      </w:r>
      <w:r w:rsidR="00BA677F">
        <w:rPr>
          <w:rFonts w:cs="Arial"/>
        </w:rPr>
        <w:t xml:space="preserve">included </w:t>
      </w:r>
      <w:r w:rsidR="008363DC">
        <w:rPr>
          <w:rFonts w:cs="Arial"/>
        </w:rPr>
        <w:t>stud</w:t>
      </w:r>
      <w:r w:rsidR="00263BC8">
        <w:rPr>
          <w:rFonts w:cs="Arial"/>
        </w:rPr>
        <w:t>ies</w:t>
      </w:r>
      <w:r w:rsidR="008363DC">
        <w:rPr>
          <w:rFonts w:cs="Arial"/>
        </w:rPr>
        <w:t xml:space="preserve"> </w:t>
      </w:r>
      <w:r w:rsidR="00263BC8">
        <w:rPr>
          <w:rFonts w:cs="Arial"/>
        </w:rPr>
        <w:t xml:space="preserve">in </w:t>
      </w:r>
      <w:r w:rsidR="002D67B2">
        <w:rPr>
          <w:rFonts w:cs="Arial"/>
        </w:rPr>
        <w:t xml:space="preserve">Appendices </w:t>
      </w:r>
      <w:r w:rsidR="00263BC8">
        <w:rPr>
          <w:rFonts w:cs="Arial"/>
        </w:rPr>
        <w:t>Section</w:t>
      </w:r>
      <w:r w:rsidR="00612164">
        <w:rPr>
          <w:rFonts w:cs="Arial"/>
        </w:rPr>
        <w:t>s 2.2</w:t>
      </w:r>
      <w:r w:rsidR="00B81277">
        <w:rPr>
          <w:rFonts w:cs="Arial"/>
        </w:rPr>
        <w:t xml:space="preserve"> and</w:t>
      </w:r>
      <w:r w:rsidR="00F66CF3">
        <w:rPr>
          <w:rFonts w:cs="Arial"/>
        </w:rPr>
        <w:t xml:space="preserve"> 2.6</w:t>
      </w:r>
      <w:r w:rsidR="00263BC8">
        <w:rPr>
          <w:rFonts w:cs="Arial"/>
        </w:rPr>
        <w:t>.</w:t>
      </w:r>
    </w:p>
    <w:p w14:paraId="2F15F314" w14:textId="77777777" w:rsidR="009925A0" w:rsidRDefault="009925A0" w:rsidP="008F6642">
      <w:pPr>
        <w:rPr>
          <w:rFonts w:cs="Arial"/>
        </w:rPr>
      </w:pPr>
    </w:p>
    <w:p w14:paraId="3D1A4ADC" w14:textId="51E80485" w:rsidR="0036605F" w:rsidRPr="00AB00B0" w:rsidRDefault="00EB5EB4" w:rsidP="008F6642">
      <w:pPr>
        <w:rPr>
          <w:rFonts w:cs="Arial"/>
          <w:b/>
          <w:szCs w:val="22"/>
        </w:rPr>
      </w:pPr>
      <w:r w:rsidRPr="00EC3FCA">
        <w:rPr>
          <w:rFonts w:cs="Arial"/>
          <w:b/>
          <w:szCs w:val="22"/>
        </w:rPr>
        <w:t xml:space="preserve">Table </w:t>
      </w:r>
      <w:r w:rsidR="00A65AE0">
        <w:rPr>
          <w:rFonts w:cs="Arial"/>
          <w:b/>
          <w:szCs w:val="22"/>
        </w:rPr>
        <w:t>2</w:t>
      </w:r>
      <w:r w:rsidRPr="00776C8A">
        <w:rPr>
          <w:rFonts w:cs="Arial"/>
          <w:b/>
          <w:szCs w:val="22"/>
        </w:rPr>
        <w:t xml:space="preserve">: </w:t>
      </w:r>
      <w:r w:rsidR="00AC67C1">
        <w:rPr>
          <w:rFonts w:cs="Arial"/>
          <w:b/>
          <w:szCs w:val="22"/>
        </w:rPr>
        <w:t>G</w:t>
      </w:r>
      <w:r w:rsidR="00776C8A" w:rsidRPr="00776C8A">
        <w:rPr>
          <w:rFonts w:cs="Arial"/>
          <w:b/>
          <w:szCs w:val="22"/>
        </w:rPr>
        <w:t xml:space="preserve">alacto-oligosaccharide </w:t>
      </w:r>
      <w:r w:rsidR="005F4226">
        <w:rPr>
          <w:rFonts w:cs="Arial"/>
          <w:b/>
          <w:szCs w:val="22"/>
        </w:rPr>
        <w:t>intake</w:t>
      </w:r>
      <w:r w:rsidR="00AC67C1">
        <w:rPr>
          <w:rFonts w:cs="Arial"/>
          <w:b/>
          <w:szCs w:val="22"/>
        </w:rPr>
        <w:t xml:space="preserve"> </w:t>
      </w:r>
      <w:r w:rsidR="00544727">
        <w:rPr>
          <w:rFonts w:cs="Arial"/>
          <w:b/>
          <w:szCs w:val="22"/>
        </w:rPr>
        <w:t>i</w:t>
      </w:r>
      <w:r w:rsidR="00911A80">
        <w:rPr>
          <w:rFonts w:cs="Arial"/>
          <w:b/>
          <w:szCs w:val="22"/>
        </w:rPr>
        <w:t>s</w:t>
      </w:r>
      <w:r w:rsidR="00AC67C1">
        <w:rPr>
          <w:rFonts w:cs="Arial"/>
          <w:b/>
          <w:szCs w:val="22"/>
        </w:rPr>
        <w:t xml:space="preserve"> </w:t>
      </w:r>
      <w:r w:rsidR="00544727">
        <w:rPr>
          <w:rFonts w:cs="Arial"/>
          <w:b/>
          <w:szCs w:val="22"/>
        </w:rPr>
        <w:t>not associated with</w:t>
      </w:r>
      <w:r w:rsidR="00776C8A" w:rsidRPr="00776C8A">
        <w:rPr>
          <w:rFonts w:cs="Arial"/>
          <w:b/>
          <w:szCs w:val="22"/>
        </w:rPr>
        <w:t xml:space="preserve"> stool weight.</w:t>
      </w:r>
    </w:p>
    <w:tbl>
      <w:tblPr>
        <w:tblStyle w:val="TableGrid"/>
        <w:tblW w:w="8784" w:type="dxa"/>
        <w:tblLayout w:type="fixed"/>
        <w:tblLook w:val="04A0" w:firstRow="1" w:lastRow="0" w:firstColumn="1" w:lastColumn="0" w:noHBand="0" w:noVBand="1"/>
        <w:tblCaption w:val="Table 2: Galacto-oligosaccharide intake is not associated with stool weight."/>
        <w:tblDescription w:val="Table 2 contains 7 columns. Column 1 reflects the study of interest, by listing the first author and year of publication. Column 2 lists the GOS dose level used in the condition. Column 3, 4, 5, and 6 lists values reflecting stool weight. Column 3 lists the baseline mean and standard error. Column 4 lists the endpoint mean and standard deviation or standard error. Column 5 lists the mean difference and standard error. Column 6 lists the mean difference and standard error relative to GOS. Column 7 lists the P value provided by the authors, for the difference in stool weight between placebo and intervention group at follow-up or between placebo and intervention group, over time."/>
      </w:tblPr>
      <w:tblGrid>
        <w:gridCol w:w="1116"/>
        <w:gridCol w:w="1006"/>
        <w:gridCol w:w="1263"/>
        <w:gridCol w:w="1572"/>
        <w:gridCol w:w="1417"/>
        <w:gridCol w:w="1701"/>
        <w:gridCol w:w="709"/>
      </w:tblGrid>
      <w:tr w:rsidR="00EE6B64" w:rsidRPr="00AB00B0" w14:paraId="309FCF64" w14:textId="77777777" w:rsidTr="00AA2ABB">
        <w:tc>
          <w:tcPr>
            <w:tcW w:w="1116" w:type="dxa"/>
            <w:vMerge w:val="restart"/>
          </w:tcPr>
          <w:p w14:paraId="33953774" w14:textId="5E1C6390" w:rsidR="00EE6B64" w:rsidRPr="00AB00B0" w:rsidRDefault="00EE6B64" w:rsidP="00AB00B0">
            <w:pPr>
              <w:rPr>
                <w:b/>
                <w:sz w:val="18"/>
                <w:szCs w:val="18"/>
              </w:rPr>
            </w:pPr>
            <w:r w:rsidRPr="00AB00B0">
              <w:rPr>
                <w:b/>
                <w:sz w:val="18"/>
                <w:szCs w:val="18"/>
              </w:rPr>
              <w:t>First author (year)</w:t>
            </w:r>
          </w:p>
        </w:tc>
        <w:tc>
          <w:tcPr>
            <w:tcW w:w="1006" w:type="dxa"/>
            <w:vMerge w:val="restart"/>
          </w:tcPr>
          <w:p w14:paraId="7E7D2811" w14:textId="0F0BAD6B" w:rsidR="00EE6B64" w:rsidRPr="00AB00B0" w:rsidRDefault="006671D3" w:rsidP="00AB00B0">
            <w:pPr>
              <w:rPr>
                <w:b/>
                <w:sz w:val="18"/>
                <w:szCs w:val="18"/>
              </w:rPr>
            </w:pPr>
            <w:r>
              <w:rPr>
                <w:b/>
                <w:sz w:val="18"/>
                <w:szCs w:val="18"/>
              </w:rPr>
              <w:t>GOS intak</w:t>
            </w:r>
            <w:r w:rsidR="00EE6B64" w:rsidRPr="00AB00B0">
              <w:rPr>
                <w:b/>
                <w:sz w:val="18"/>
                <w:szCs w:val="18"/>
              </w:rPr>
              <w:t>e level (g/day)</w:t>
            </w:r>
          </w:p>
        </w:tc>
        <w:tc>
          <w:tcPr>
            <w:tcW w:w="5953" w:type="dxa"/>
            <w:gridSpan w:val="4"/>
          </w:tcPr>
          <w:p w14:paraId="71CC2E13" w14:textId="0D78DA4F" w:rsidR="00EE6B64" w:rsidRPr="00AB00B0" w:rsidRDefault="00EE6B64" w:rsidP="00AB00B0">
            <w:pPr>
              <w:rPr>
                <w:b/>
                <w:sz w:val="18"/>
                <w:szCs w:val="18"/>
              </w:rPr>
            </w:pPr>
            <w:r>
              <w:rPr>
                <w:b/>
                <w:sz w:val="18"/>
                <w:szCs w:val="18"/>
              </w:rPr>
              <w:t>Stool weight</w:t>
            </w:r>
          </w:p>
        </w:tc>
        <w:tc>
          <w:tcPr>
            <w:tcW w:w="709" w:type="dxa"/>
            <w:vMerge w:val="restart"/>
          </w:tcPr>
          <w:p w14:paraId="41107D32" w14:textId="488B1442" w:rsidR="00EE6B64" w:rsidRPr="00AB00B0" w:rsidRDefault="00EE6B64" w:rsidP="004E2C59">
            <w:pPr>
              <w:rPr>
                <w:b/>
                <w:i/>
                <w:sz w:val="18"/>
                <w:szCs w:val="18"/>
              </w:rPr>
            </w:pPr>
            <w:r w:rsidRPr="00AB00B0">
              <w:rPr>
                <w:b/>
                <w:i/>
                <w:sz w:val="18"/>
                <w:szCs w:val="18"/>
              </w:rPr>
              <w:t>P</w:t>
            </w:r>
            <w:r w:rsidR="004E2C59" w:rsidRPr="004E2C59">
              <w:rPr>
                <w:b/>
                <w:sz w:val="18"/>
                <w:szCs w:val="18"/>
                <w:vertAlign w:val="superscript"/>
              </w:rPr>
              <w:t>7</w:t>
            </w:r>
          </w:p>
        </w:tc>
      </w:tr>
      <w:tr w:rsidR="00EE6B64" w:rsidRPr="00AB00B0" w14:paraId="5E76EA50" w14:textId="77777777" w:rsidTr="00AA2ABB">
        <w:tc>
          <w:tcPr>
            <w:tcW w:w="1116" w:type="dxa"/>
            <w:vMerge/>
          </w:tcPr>
          <w:p w14:paraId="7DAB2870" w14:textId="32C80464" w:rsidR="00EE6B64" w:rsidRPr="00AB00B0" w:rsidRDefault="00EE6B64" w:rsidP="00AB00B0">
            <w:pPr>
              <w:rPr>
                <w:b/>
                <w:sz w:val="18"/>
                <w:szCs w:val="18"/>
              </w:rPr>
            </w:pPr>
          </w:p>
        </w:tc>
        <w:tc>
          <w:tcPr>
            <w:tcW w:w="1006" w:type="dxa"/>
            <w:vMerge/>
          </w:tcPr>
          <w:p w14:paraId="2A3B4D72" w14:textId="12F46852" w:rsidR="00EE6B64" w:rsidRPr="00AB00B0" w:rsidRDefault="00EE6B64" w:rsidP="00AB00B0">
            <w:pPr>
              <w:rPr>
                <w:b/>
                <w:sz w:val="18"/>
                <w:szCs w:val="18"/>
              </w:rPr>
            </w:pPr>
          </w:p>
        </w:tc>
        <w:tc>
          <w:tcPr>
            <w:tcW w:w="1263" w:type="dxa"/>
          </w:tcPr>
          <w:p w14:paraId="4016D286" w14:textId="11817EB4" w:rsidR="00EE6B64" w:rsidRPr="00AB00B0" w:rsidRDefault="00EE6B64" w:rsidP="0087653D">
            <w:pPr>
              <w:rPr>
                <w:b/>
                <w:sz w:val="18"/>
                <w:szCs w:val="18"/>
              </w:rPr>
            </w:pPr>
            <w:r>
              <w:rPr>
                <w:b/>
                <w:sz w:val="18"/>
                <w:szCs w:val="18"/>
              </w:rPr>
              <w:t>B</w:t>
            </w:r>
            <w:r w:rsidRPr="00AB00B0">
              <w:rPr>
                <w:b/>
                <w:sz w:val="18"/>
                <w:szCs w:val="18"/>
              </w:rPr>
              <w:t>aseline</w:t>
            </w:r>
            <w:r>
              <w:rPr>
                <w:b/>
                <w:sz w:val="18"/>
                <w:szCs w:val="18"/>
              </w:rPr>
              <w:t xml:space="preserve"> (</w:t>
            </w:r>
            <w:r w:rsidRPr="00AB00B0">
              <w:rPr>
                <w:b/>
                <w:sz w:val="18"/>
                <w:szCs w:val="18"/>
              </w:rPr>
              <w:t xml:space="preserve">mean </w:t>
            </w:r>
            <w:r w:rsidRPr="00AB00B0">
              <w:rPr>
                <w:rFonts w:cs="Arial"/>
                <w:b/>
                <w:sz w:val="18"/>
                <w:szCs w:val="18"/>
              </w:rPr>
              <w:t xml:space="preserve">± </w:t>
            </w:r>
            <w:r w:rsidRPr="00AB00B0">
              <w:rPr>
                <w:b/>
                <w:sz w:val="18"/>
                <w:szCs w:val="18"/>
              </w:rPr>
              <w:t>SE, g/day)</w:t>
            </w:r>
            <w:r w:rsidRPr="00AB00B0">
              <w:rPr>
                <w:b/>
                <w:sz w:val="18"/>
                <w:szCs w:val="18"/>
                <w:vertAlign w:val="superscript"/>
              </w:rPr>
              <w:t>1</w:t>
            </w:r>
          </w:p>
        </w:tc>
        <w:tc>
          <w:tcPr>
            <w:tcW w:w="1572" w:type="dxa"/>
          </w:tcPr>
          <w:p w14:paraId="46973CCA" w14:textId="2421591B" w:rsidR="00EE6B64" w:rsidRPr="00AB00B0" w:rsidRDefault="00B92662" w:rsidP="00F27B38">
            <w:pPr>
              <w:rPr>
                <w:b/>
                <w:sz w:val="18"/>
                <w:szCs w:val="18"/>
                <w:vertAlign w:val="superscript"/>
              </w:rPr>
            </w:pPr>
            <w:r>
              <w:rPr>
                <w:b/>
                <w:sz w:val="18"/>
                <w:szCs w:val="18"/>
              </w:rPr>
              <w:t xml:space="preserve">Follow-up </w:t>
            </w:r>
            <w:r w:rsidR="00EE6B64">
              <w:rPr>
                <w:b/>
                <w:sz w:val="18"/>
                <w:szCs w:val="18"/>
              </w:rPr>
              <w:t>(</w:t>
            </w:r>
            <w:r w:rsidR="00EE6B64" w:rsidRPr="00AB00B0">
              <w:rPr>
                <w:b/>
                <w:sz w:val="18"/>
                <w:szCs w:val="18"/>
              </w:rPr>
              <w:t xml:space="preserve">mean </w:t>
            </w:r>
            <w:r w:rsidR="00EE6B64" w:rsidRPr="00AB00B0">
              <w:rPr>
                <w:rFonts w:cs="Arial"/>
                <w:b/>
                <w:sz w:val="18"/>
                <w:szCs w:val="18"/>
              </w:rPr>
              <w:t xml:space="preserve">± </w:t>
            </w:r>
            <w:r w:rsidR="00EE6B64" w:rsidRPr="00AB00B0">
              <w:rPr>
                <w:b/>
                <w:sz w:val="18"/>
                <w:szCs w:val="18"/>
              </w:rPr>
              <w:t>SD or SE</w:t>
            </w:r>
            <w:r w:rsidR="00EE6B64" w:rsidRPr="00AB00B0">
              <w:rPr>
                <w:b/>
                <w:sz w:val="18"/>
                <w:szCs w:val="18"/>
                <w:vertAlign w:val="superscript"/>
              </w:rPr>
              <w:t>2</w:t>
            </w:r>
            <w:r w:rsidR="00EE6B64" w:rsidRPr="00AB00B0">
              <w:rPr>
                <w:b/>
                <w:sz w:val="18"/>
                <w:szCs w:val="18"/>
              </w:rPr>
              <w:t>, g/day)</w:t>
            </w:r>
            <w:r w:rsidR="00EE6B64" w:rsidRPr="00AB00B0">
              <w:rPr>
                <w:b/>
                <w:sz w:val="18"/>
                <w:szCs w:val="18"/>
                <w:vertAlign w:val="superscript"/>
              </w:rPr>
              <w:t>3</w:t>
            </w:r>
          </w:p>
        </w:tc>
        <w:tc>
          <w:tcPr>
            <w:tcW w:w="1417" w:type="dxa"/>
          </w:tcPr>
          <w:p w14:paraId="3303F09E" w14:textId="069EB647" w:rsidR="00EE6B64" w:rsidRPr="00AB00B0" w:rsidRDefault="003976A6" w:rsidP="003976A6">
            <w:pPr>
              <w:rPr>
                <w:b/>
                <w:sz w:val="18"/>
                <w:szCs w:val="18"/>
              </w:rPr>
            </w:pPr>
            <w:r>
              <w:rPr>
                <w:b/>
                <w:sz w:val="18"/>
                <w:szCs w:val="18"/>
              </w:rPr>
              <w:t>Mean d</w:t>
            </w:r>
            <w:r w:rsidR="00EE6B64">
              <w:rPr>
                <w:b/>
                <w:sz w:val="18"/>
                <w:szCs w:val="18"/>
              </w:rPr>
              <w:t>ifference</w:t>
            </w:r>
            <w:r w:rsidR="00EE6B64" w:rsidRPr="00AB00B0">
              <w:rPr>
                <w:b/>
                <w:sz w:val="18"/>
                <w:szCs w:val="18"/>
                <w:vertAlign w:val="superscript"/>
              </w:rPr>
              <w:t>4</w:t>
            </w:r>
            <w:r w:rsidR="00EE6B64">
              <w:rPr>
                <w:b/>
                <w:sz w:val="18"/>
                <w:szCs w:val="18"/>
              </w:rPr>
              <w:t xml:space="preserve"> </w:t>
            </w:r>
            <w:r w:rsidR="00EE6B64" w:rsidRPr="00AB00B0">
              <w:rPr>
                <w:rFonts w:cs="Arial"/>
                <w:b/>
                <w:sz w:val="18"/>
                <w:szCs w:val="18"/>
              </w:rPr>
              <w:t xml:space="preserve">± </w:t>
            </w:r>
            <w:r w:rsidR="00EE6B64" w:rsidRPr="00AB00B0">
              <w:rPr>
                <w:b/>
                <w:sz w:val="18"/>
                <w:szCs w:val="18"/>
              </w:rPr>
              <w:t>S</w:t>
            </w:r>
            <w:r w:rsidR="00304560">
              <w:rPr>
                <w:b/>
                <w:sz w:val="18"/>
                <w:szCs w:val="18"/>
              </w:rPr>
              <w:t>E</w:t>
            </w:r>
            <w:r w:rsidR="00EE6B64" w:rsidRPr="00AB00B0">
              <w:rPr>
                <w:b/>
                <w:sz w:val="18"/>
                <w:szCs w:val="18"/>
                <w:vertAlign w:val="superscript"/>
              </w:rPr>
              <w:t>5</w:t>
            </w:r>
            <w:r w:rsidR="00DC3F4E">
              <w:rPr>
                <w:b/>
                <w:sz w:val="18"/>
                <w:szCs w:val="18"/>
              </w:rPr>
              <w:t xml:space="preserve"> (</w:t>
            </w:r>
            <w:r w:rsidR="00EE6B64" w:rsidRPr="00AB00B0">
              <w:rPr>
                <w:b/>
                <w:sz w:val="18"/>
                <w:szCs w:val="18"/>
              </w:rPr>
              <w:t>g/day)</w:t>
            </w:r>
          </w:p>
        </w:tc>
        <w:tc>
          <w:tcPr>
            <w:tcW w:w="1701" w:type="dxa"/>
          </w:tcPr>
          <w:p w14:paraId="3932B211" w14:textId="2AB1C94D" w:rsidR="00EE6B64" w:rsidRPr="00AB00B0" w:rsidRDefault="003976A6" w:rsidP="00DC3F4E">
            <w:pPr>
              <w:rPr>
                <w:b/>
                <w:sz w:val="18"/>
                <w:szCs w:val="18"/>
              </w:rPr>
            </w:pPr>
            <w:r>
              <w:rPr>
                <w:b/>
                <w:sz w:val="18"/>
                <w:szCs w:val="18"/>
              </w:rPr>
              <w:t>Mean d</w:t>
            </w:r>
            <w:r w:rsidR="00EE6B64">
              <w:rPr>
                <w:b/>
                <w:sz w:val="18"/>
                <w:szCs w:val="18"/>
              </w:rPr>
              <w:t>ifference</w:t>
            </w:r>
            <w:r w:rsidR="00DC3F4E">
              <w:rPr>
                <w:b/>
                <w:sz w:val="18"/>
                <w:szCs w:val="18"/>
              </w:rPr>
              <w:t xml:space="preserve"> </w:t>
            </w:r>
            <w:r w:rsidR="00DC3F4E" w:rsidRPr="00AB00B0">
              <w:rPr>
                <w:rFonts w:cs="Arial"/>
                <w:b/>
                <w:sz w:val="18"/>
                <w:szCs w:val="18"/>
              </w:rPr>
              <w:t xml:space="preserve">± </w:t>
            </w:r>
            <w:r w:rsidR="00DC3F4E" w:rsidRPr="00AB00B0">
              <w:rPr>
                <w:b/>
                <w:sz w:val="18"/>
                <w:szCs w:val="18"/>
              </w:rPr>
              <w:t>S</w:t>
            </w:r>
            <w:r w:rsidR="00DC3F4E">
              <w:rPr>
                <w:b/>
                <w:sz w:val="18"/>
                <w:szCs w:val="18"/>
              </w:rPr>
              <w:t>E</w:t>
            </w:r>
            <w:r w:rsidR="00EE6B64" w:rsidRPr="00AB00B0">
              <w:rPr>
                <w:b/>
                <w:sz w:val="18"/>
                <w:szCs w:val="18"/>
              </w:rPr>
              <w:t xml:space="preserve"> relative to GOS</w:t>
            </w:r>
            <w:r w:rsidR="00EE6B64" w:rsidRPr="00AB00B0">
              <w:rPr>
                <w:b/>
                <w:sz w:val="18"/>
                <w:szCs w:val="18"/>
                <w:vertAlign w:val="superscript"/>
              </w:rPr>
              <w:t>6</w:t>
            </w:r>
            <w:r w:rsidR="00DC3F4E">
              <w:rPr>
                <w:b/>
                <w:sz w:val="18"/>
                <w:szCs w:val="18"/>
              </w:rPr>
              <w:t xml:space="preserve"> (</w:t>
            </w:r>
            <w:r w:rsidR="00EE6B64" w:rsidRPr="00AB00B0">
              <w:rPr>
                <w:b/>
                <w:sz w:val="18"/>
                <w:szCs w:val="18"/>
              </w:rPr>
              <w:t>g/day per GOS g)</w:t>
            </w:r>
          </w:p>
        </w:tc>
        <w:tc>
          <w:tcPr>
            <w:tcW w:w="709" w:type="dxa"/>
            <w:vMerge/>
          </w:tcPr>
          <w:p w14:paraId="68E619C1" w14:textId="58031E1B" w:rsidR="00EE6B64" w:rsidRPr="00AB00B0" w:rsidRDefault="00EE6B64" w:rsidP="00AB00B0">
            <w:pPr>
              <w:rPr>
                <w:b/>
                <w:sz w:val="18"/>
                <w:szCs w:val="18"/>
                <w:vertAlign w:val="superscript"/>
              </w:rPr>
            </w:pPr>
          </w:p>
        </w:tc>
      </w:tr>
      <w:tr w:rsidR="00EE6B64" w:rsidRPr="00AB00B0" w14:paraId="4CC05C6F" w14:textId="77777777" w:rsidTr="00AA2ABB">
        <w:tc>
          <w:tcPr>
            <w:tcW w:w="1116" w:type="dxa"/>
            <w:vMerge w:val="restart"/>
          </w:tcPr>
          <w:p w14:paraId="1307D9CE" w14:textId="77777777" w:rsidR="00EE6B64" w:rsidRPr="00AB00B0" w:rsidRDefault="00EE6B64" w:rsidP="00AB00B0">
            <w:pPr>
              <w:rPr>
                <w:sz w:val="18"/>
                <w:szCs w:val="18"/>
              </w:rPr>
            </w:pPr>
            <w:r w:rsidRPr="00AB00B0">
              <w:rPr>
                <w:sz w:val="18"/>
                <w:szCs w:val="18"/>
              </w:rPr>
              <w:t>Ito (1990)</w:t>
            </w:r>
          </w:p>
        </w:tc>
        <w:tc>
          <w:tcPr>
            <w:tcW w:w="1006" w:type="dxa"/>
          </w:tcPr>
          <w:p w14:paraId="2F3B660A" w14:textId="10C9F95B" w:rsidR="00EE6B64" w:rsidRPr="00AB00B0" w:rsidRDefault="00EE6B64" w:rsidP="00AB00B0">
            <w:pPr>
              <w:rPr>
                <w:sz w:val="18"/>
                <w:szCs w:val="18"/>
              </w:rPr>
            </w:pPr>
            <w:r w:rsidRPr="00AB00B0">
              <w:rPr>
                <w:sz w:val="18"/>
                <w:szCs w:val="18"/>
              </w:rPr>
              <w:t>0.0</w:t>
            </w:r>
          </w:p>
        </w:tc>
        <w:tc>
          <w:tcPr>
            <w:tcW w:w="1263" w:type="dxa"/>
          </w:tcPr>
          <w:p w14:paraId="14C65BF0" w14:textId="77777777" w:rsidR="00EE6B64" w:rsidRPr="00AB00B0" w:rsidRDefault="00EE6B64" w:rsidP="00AB00B0">
            <w:pPr>
              <w:rPr>
                <w:sz w:val="18"/>
                <w:szCs w:val="18"/>
              </w:rPr>
            </w:pPr>
            <w:r w:rsidRPr="00AB00B0">
              <w:rPr>
                <w:sz w:val="18"/>
                <w:szCs w:val="18"/>
              </w:rPr>
              <w:t>n/a</w:t>
            </w:r>
          </w:p>
        </w:tc>
        <w:tc>
          <w:tcPr>
            <w:tcW w:w="1572" w:type="dxa"/>
          </w:tcPr>
          <w:p w14:paraId="18C1B28C" w14:textId="19DAEC8D" w:rsidR="00EE6B64" w:rsidRPr="001F13F9" w:rsidRDefault="00EE6B64" w:rsidP="00AB00B0">
            <w:pPr>
              <w:rPr>
                <w:sz w:val="18"/>
                <w:szCs w:val="18"/>
              </w:rPr>
            </w:pPr>
            <w:r w:rsidRPr="001F13F9">
              <w:rPr>
                <w:sz w:val="18"/>
                <w:szCs w:val="18"/>
              </w:rPr>
              <w:t xml:space="preserve">151 </w:t>
            </w:r>
            <w:r w:rsidRPr="001F13F9">
              <w:rPr>
                <w:rFonts w:cs="Arial"/>
                <w:sz w:val="18"/>
                <w:szCs w:val="18"/>
              </w:rPr>
              <w:t xml:space="preserve">± </w:t>
            </w:r>
            <w:r w:rsidRPr="001F13F9">
              <w:rPr>
                <w:sz w:val="18"/>
                <w:szCs w:val="18"/>
              </w:rPr>
              <w:t>63.6</w:t>
            </w:r>
          </w:p>
        </w:tc>
        <w:tc>
          <w:tcPr>
            <w:tcW w:w="1417" w:type="dxa"/>
          </w:tcPr>
          <w:p w14:paraId="59EB6CB7" w14:textId="77777777" w:rsidR="00EE6B64" w:rsidRPr="007B77D8" w:rsidRDefault="00EE6B64" w:rsidP="00AB00B0">
            <w:pPr>
              <w:rPr>
                <w:sz w:val="18"/>
                <w:szCs w:val="18"/>
              </w:rPr>
            </w:pPr>
            <w:r w:rsidRPr="007B77D8">
              <w:rPr>
                <w:sz w:val="18"/>
                <w:szCs w:val="18"/>
              </w:rPr>
              <w:t>n/a</w:t>
            </w:r>
          </w:p>
        </w:tc>
        <w:tc>
          <w:tcPr>
            <w:tcW w:w="1701" w:type="dxa"/>
          </w:tcPr>
          <w:p w14:paraId="37B689BD" w14:textId="77777777" w:rsidR="00EE6B64" w:rsidRPr="00AB00B0" w:rsidRDefault="00EE6B64" w:rsidP="00AB00B0">
            <w:pPr>
              <w:rPr>
                <w:sz w:val="18"/>
                <w:szCs w:val="18"/>
              </w:rPr>
            </w:pPr>
            <w:r w:rsidRPr="00AB00B0">
              <w:rPr>
                <w:sz w:val="18"/>
                <w:szCs w:val="18"/>
              </w:rPr>
              <w:t>n/a</w:t>
            </w:r>
          </w:p>
        </w:tc>
        <w:tc>
          <w:tcPr>
            <w:tcW w:w="709" w:type="dxa"/>
          </w:tcPr>
          <w:p w14:paraId="70CEE8A8" w14:textId="71FE8CE1" w:rsidR="00EE6B64" w:rsidRPr="00AB00B0" w:rsidRDefault="00A13333" w:rsidP="00AB00B0">
            <w:pPr>
              <w:rPr>
                <w:sz w:val="18"/>
                <w:szCs w:val="18"/>
              </w:rPr>
            </w:pPr>
            <w:r>
              <w:rPr>
                <w:sz w:val="18"/>
                <w:szCs w:val="18"/>
              </w:rPr>
              <w:t>n/a</w:t>
            </w:r>
          </w:p>
        </w:tc>
      </w:tr>
      <w:tr w:rsidR="00EE6B64" w:rsidRPr="00AB00B0" w14:paraId="1BBE0014" w14:textId="77777777" w:rsidTr="00AA2ABB">
        <w:tc>
          <w:tcPr>
            <w:tcW w:w="1116" w:type="dxa"/>
            <w:vMerge/>
          </w:tcPr>
          <w:p w14:paraId="0AA6DB47" w14:textId="77777777" w:rsidR="00EE6B64" w:rsidRPr="00AB00B0" w:rsidRDefault="00EE6B64" w:rsidP="00AB00B0">
            <w:pPr>
              <w:rPr>
                <w:sz w:val="18"/>
                <w:szCs w:val="18"/>
              </w:rPr>
            </w:pPr>
          </w:p>
        </w:tc>
        <w:tc>
          <w:tcPr>
            <w:tcW w:w="1006" w:type="dxa"/>
          </w:tcPr>
          <w:p w14:paraId="3E36FB2D" w14:textId="77777777" w:rsidR="00EE6B64" w:rsidRPr="00AB00B0" w:rsidRDefault="00EE6B64" w:rsidP="00AB00B0">
            <w:pPr>
              <w:rPr>
                <w:sz w:val="18"/>
                <w:szCs w:val="18"/>
              </w:rPr>
            </w:pPr>
            <w:r w:rsidRPr="00AB00B0">
              <w:rPr>
                <w:sz w:val="18"/>
                <w:szCs w:val="18"/>
              </w:rPr>
              <w:t>2.5</w:t>
            </w:r>
          </w:p>
        </w:tc>
        <w:tc>
          <w:tcPr>
            <w:tcW w:w="1263" w:type="dxa"/>
          </w:tcPr>
          <w:p w14:paraId="5E4EB2A8" w14:textId="77777777" w:rsidR="00EE6B64" w:rsidRPr="00AB00B0" w:rsidRDefault="00EE6B64" w:rsidP="00AB00B0">
            <w:pPr>
              <w:rPr>
                <w:sz w:val="18"/>
                <w:szCs w:val="18"/>
              </w:rPr>
            </w:pPr>
            <w:r w:rsidRPr="00AB00B0">
              <w:rPr>
                <w:sz w:val="18"/>
                <w:szCs w:val="18"/>
              </w:rPr>
              <w:t>n/a</w:t>
            </w:r>
          </w:p>
        </w:tc>
        <w:tc>
          <w:tcPr>
            <w:tcW w:w="1572" w:type="dxa"/>
          </w:tcPr>
          <w:p w14:paraId="0C28B18C" w14:textId="34612472" w:rsidR="00EE6B64" w:rsidRPr="001F13F9" w:rsidRDefault="00EE6B64" w:rsidP="00AB00B0">
            <w:pPr>
              <w:rPr>
                <w:sz w:val="18"/>
                <w:szCs w:val="18"/>
              </w:rPr>
            </w:pPr>
            <w:r w:rsidRPr="001F13F9">
              <w:rPr>
                <w:sz w:val="18"/>
                <w:szCs w:val="18"/>
              </w:rPr>
              <w:t xml:space="preserve">134 </w:t>
            </w:r>
            <w:r w:rsidRPr="001F13F9">
              <w:rPr>
                <w:rFonts w:cs="Arial"/>
                <w:sz w:val="18"/>
                <w:szCs w:val="18"/>
              </w:rPr>
              <w:t xml:space="preserve">± </w:t>
            </w:r>
            <w:r w:rsidRPr="001F13F9">
              <w:rPr>
                <w:sz w:val="18"/>
                <w:szCs w:val="18"/>
              </w:rPr>
              <w:t>49.6</w:t>
            </w:r>
          </w:p>
        </w:tc>
        <w:tc>
          <w:tcPr>
            <w:tcW w:w="1417" w:type="dxa"/>
          </w:tcPr>
          <w:p w14:paraId="10300B86" w14:textId="799C878B" w:rsidR="00EE6B64" w:rsidRPr="00DE717A" w:rsidRDefault="00EE6B64" w:rsidP="001F13F9">
            <w:pPr>
              <w:rPr>
                <w:sz w:val="18"/>
                <w:szCs w:val="18"/>
              </w:rPr>
            </w:pPr>
            <w:r w:rsidRPr="00DE717A">
              <w:rPr>
                <w:sz w:val="18"/>
                <w:szCs w:val="18"/>
              </w:rPr>
              <w:t xml:space="preserve">-16.8 </w:t>
            </w:r>
            <w:r w:rsidRPr="00DE717A">
              <w:rPr>
                <w:rFonts w:cs="Arial"/>
                <w:sz w:val="18"/>
                <w:szCs w:val="18"/>
              </w:rPr>
              <w:t xml:space="preserve">± </w:t>
            </w:r>
            <w:r w:rsidR="00433360" w:rsidRPr="00DE717A">
              <w:rPr>
                <w:rFonts w:cs="Arial"/>
                <w:sz w:val="18"/>
                <w:szCs w:val="18"/>
              </w:rPr>
              <w:t>1</w:t>
            </w:r>
            <w:r w:rsidR="001F13F9" w:rsidRPr="00DE717A">
              <w:rPr>
                <w:rFonts w:cs="Arial"/>
                <w:sz w:val="18"/>
                <w:szCs w:val="18"/>
              </w:rPr>
              <w:t>3</w:t>
            </w:r>
            <w:r w:rsidR="00433360" w:rsidRPr="00DE717A">
              <w:rPr>
                <w:rFonts w:cs="Arial"/>
                <w:sz w:val="18"/>
                <w:szCs w:val="18"/>
              </w:rPr>
              <w:t>.</w:t>
            </w:r>
            <w:r w:rsidR="001F13F9" w:rsidRPr="00DE717A">
              <w:rPr>
                <w:rFonts w:cs="Arial"/>
                <w:sz w:val="18"/>
                <w:szCs w:val="18"/>
              </w:rPr>
              <w:t>2</w:t>
            </w:r>
          </w:p>
        </w:tc>
        <w:tc>
          <w:tcPr>
            <w:tcW w:w="1701" w:type="dxa"/>
          </w:tcPr>
          <w:p w14:paraId="1E36C7FB" w14:textId="7F036E7B" w:rsidR="00EE6B64" w:rsidRPr="00DE717A" w:rsidRDefault="00EE6B64" w:rsidP="00A737A5">
            <w:pPr>
              <w:rPr>
                <w:sz w:val="18"/>
                <w:szCs w:val="18"/>
              </w:rPr>
            </w:pPr>
            <w:r w:rsidRPr="00DE717A">
              <w:rPr>
                <w:sz w:val="18"/>
                <w:szCs w:val="18"/>
              </w:rPr>
              <w:t xml:space="preserve">-6.7 </w:t>
            </w:r>
            <w:r w:rsidRPr="00DE717A">
              <w:rPr>
                <w:rFonts w:cs="Arial"/>
                <w:sz w:val="18"/>
                <w:szCs w:val="18"/>
              </w:rPr>
              <w:t xml:space="preserve">± </w:t>
            </w:r>
            <w:r w:rsidR="001F13F9" w:rsidRPr="00DE717A">
              <w:rPr>
                <w:rFonts w:cs="Arial"/>
                <w:sz w:val="18"/>
                <w:szCs w:val="18"/>
              </w:rPr>
              <w:t>5.3</w:t>
            </w:r>
          </w:p>
        </w:tc>
        <w:tc>
          <w:tcPr>
            <w:tcW w:w="709" w:type="dxa"/>
          </w:tcPr>
          <w:p w14:paraId="36A2B9C8" w14:textId="436B888D" w:rsidR="00EE6B64" w:rsidRPr="00AB00B0" w:rsidRDefault="00A13333" w:rsidP="00AB00B0">
            <w:pPr>
              <w:rPr>
                <w:sz w:val="18"/>
                <w:szCs w:val="18"/>
              </w:rPr>
            </w:pPr>
            <w:r>
              <w:rPr>
                <w:sz w:val="18"/>
                <w:szCs w:val="18"/>
              </w:rPr>
              <w:t>NSD</w:t>
            </w:r>
          </w:p>
        </w:tc>
      </w:tr>
      <w:tr w:rsidR="00EE6B64" w:rsidRPr="00AB00B0" w14:paraId="4720850D" w14:textId="77777777" w:rsidTr="00AA2ABB">
        <w:tc>
          <w:tcPr>
            <w:tcW w:w="1116" w:type="dxa"/>
            <w:vMerge/>
          </w:tcPr>
          <w:p w14:paraId="6315D19C" w14:textId="77777777" w:rsidR="00EE6B64" w:rsidRPr="00AB00B0" w:rsidRDefault="00EE6B64" w:rsidP="00AB00B0">
            <w:pPr>
              <w:rPr>
                <w:sz w:val="18"/>
                <w:szCs w:val="18"/>
              </w:rPr>
            </w:pPr>
          </w:p>
        </w:tc>
        <w:tc>
          <w:tcPr>
            <w:tcW w:w="1006" w:type="dxa"/>
          </w:tcPr>
          <w:p w14:paraId="57173F69" w14:textId="77777777" w:rsidR="00EE6B64" w:rsidRPr="00AB00B0" w:rsidRDefault="00EE6B64" w:rsidP="00AB00B0">
            <w:pPr>
              <w:rPr>
                <w:sz w:val="18"/>
                <w:szCs w:val="18"/>
              </w:rPr>
            </w:pPr>
            <w:r w:rsidRPr="00AB00B0">
              <w:rPr>
                <w:sz w:val="18"/>
                <w:szCs w:val="18"/>
              </w:rPr>
              <w:t>5.0</w:t>
            </w:r>
          </w:p>
        </w:tc>
        <w:tc>
          <w:tcPr>
            <w:tcW w:w="1263" w:type="dxa"/>
          </w:tcPr>
          <w:p w14:paraId="31E89502" w14:textId="77777777" w:rsidR="00EE6B64" w:rsidRPr="00AB00B0" w:rsidRDefault="00EE6B64" w:rsidP="00AB00B0">
            <w:pPr>
              <w:rPr>
                <w:sz w:val="18"/>
                <w:szCs w:val="18"/>
              </w:rPr>
            </w:pPr>
            <w:r w:rsidRPr="00AB00B0">
              <w:rPr>
                <w:sz w:val="18"/>
                <w:szCs w:val="18"/>
              </w:rPr>
              <w:t>n/a</w:t>
            </w:r>
          </w:p>
        </w:tc>
        <w:tc>
          <w:tcPr>
            <w:tcW w:w="1572" w:type="dxa"/>
          </w:tcPr>
          <w:p w14:paraId="42A93CDA" w14:textId="214046A5" w:rsidR="00EE6B64" w:rsidRPr="001F13F9" w:rsidRDefault="00EE6B64" w:rsidP="00AB00B0">
            <w:pPr>
              <w:rPr>
                <w:sz w:val="18"/>
                <w:szCs w:val="18"/>
              </w:rPr>
            </w:pPr>
            <w:r w:rsidRPr="001F13F9">
              <w:rPr>
                <w:sz w:val="18"/>
                <w:szCs w:val="18"/>
              </w:rPr>
              <w:t xml:space="preserve">151 </w:t>
            </w:r>
            <w:r w:rsidRPr="001F13F9">
              <w:rPr>
                <w:rFonts w:cs="Arial"/>
                <w:sz w:val="18"/>
                <w:szCs w:val="18"/>
              </w:rPr>
              <w:t xml:space="preserve">± </w:t>
            </w:r>
            <w:r w:rsidRPr="001F13F9">
              <w:rPr>
                <w:sz w:val="18"/>
                <w:szCs w:val="18"/>
              </w:rPr>
              <w:t>77.1</w:t>
            </w:r>
          </w:p>
        </w:tc>
        <w:tc>
          <w:tcPr>
            <w:tcW w:w="1417" w:type="dxa"/>
          </w:tcPr>
          <w:p w14:paraId="719049D7" w14:textId="5159D62D" w:rsidR="00EE6B64" w:rsidRPr="00DE717A" w:rsidRDefault="00EE6B64" w:rsidP="001F13F9">
            <w:pPr>
              <w:rPr>
                <w:sz w:val="18"/>
                <w:szCs w:val="18"/>
              </w:rPr>
            </w:pPr>
            <w:r w:rsidRPr="00DE717A">
              <w:rPr>
                <w:sz w:val="18"/>
                <w:szCs w:val="18"/>
              </w:rPr>
              <w:t xml:space="preserve">0.0 </w:t>
            </w:r>
            <w:r w:rsidRPr="00DE717A">
              <w:rPr>
                <w:rFonts w:cs="Arial"/>
                <w:sz w:val="18"/>
                <w:szCs w:val="18"/>
              </w:rPr>
              <w:t xml:space="preserve">± </w:t>
            </w:r>
            <w:r w:rsidR="001F13F9" w:rsidRPr="00DE717A">
              <w:rPr>
                <w:rFonts w:cs="Arial"/>
                <w:sz w:val="18"/>
                <w:szCs w:val="18"/>
              </w:rPr>
              <w:t>16</w:t>
            </w:r>
            <w:r w:rsidR="00433360" w:rsidRPr="00DE717A">
              <w:rPr>
                <w:rFonts w:cs="Arial"/>
                <w:sz w:val="18"/>
                <w:szCs w:val="18"/>
              </w:rPr>
              <w:t>.</w:t>
            </w:r>
            <w:r w:rsidR="001F13F9" w:rsidRPr="00DE717A">
              <w:rPr>
                <w:rFonts w:cs="Arial"/>
                <w:sz w:val="18"/>
                <w:szCs w:val="18"/>
              </w:rPr>
              <w:t>1</w:t>
            </w:r>
          </w:p>
        </w:tc>
        <w:tc>
          <w:tcPr>
            <w:tcW w:w="1701" w:type="dxa"/>
          </w:tcPr>
          <w:p w14:paraId="476DA45B" w14:textId="4073F3AF" w:rsidR="00EE6B64" w:rsidRPr="00DE717A" w:rsidRDefault="00EE6B64" w:rsidP="00304560">
            <w:pPr>
              <w:rPr>
                <w:sz w:val="18"/>
                <w:szCs w:val="18"/>
              </w:rPr>
            </w:pPr>
            <w:r w:rsidRPr="00DE717A">
              <w:rPr>
                <w:sz w:val="18"/>
                <w:szCs w:val="18"/>
              </w:rPr>
              <w:t xml:space="preserve">0.0 </w:t>
            </w:r>
            <w:r w:rsidRPr="00DE717A">
              <w:rPr>
                <w:rFonts w:cs="Arial"/>
                <w:sz w:val="18"/>
                <w:szCs w:val="18"/>
              </w:rPr>
              <w:t xml:space="preserve">± </w:t>
            </w:r>
            <w:r w:rsidR="001F13F9" w:rsidRPr="00DE717A">
              <w:rPr>
                <w:rFonts w:cs="Arial"/>
                <w:sz w:val="18"/>
                <w:szCs w:val="18"/>
              </w:rPr>
              <w:t>3.2</w:t>
            </w:r>
          </w:p>
        </w:tc>
        <w:tc>
          <w:tcPr>
            <w:tcW w:w="709" w:type="dxa"/>
          </w:tcPr>
          <w:p w14:paraId="54471C96" w14:textId="57EBEBC1" w:rsidR="00EE6B64" w:rsidRPr="00AB00B0" w:rsidRDefault="00A13333" w:rsidP="00AB00B0">
            <w:pPr>
              <w:rPr>
                <w:sz w:val="18"/>
                <w:szCs w:val="18"/>
              </w:rPr>
            </w:pPr>
            <w:r>
              <w:rPr>
                <w:sz w:val="18"/>
                <w:szCs w:val="18"/>
              </w:rPr>
              <w:t>NSD</w:t>
            </w:r>
          </w:p>
        </w:tc>
      </w:tr>
      <w:tr w:rsidR="00EE6B64" w:rsidRPr="00AB00B0" w14:paraId="7D2CBF24" w14:textId="77777777" w:rsidTr="00AA2ABB">
        <w:tc>
          <w:tcPr>
            <w:tcW w:w="1116" w:type="dxa"/>
            <w:vMerge/>
          </w:tcPr>
          <w:p w14:paraId="459D2667" w14:textId="77777777" w:rsidR="00EE6B64" w:rsidRPr="00AB00B0" w:rsidRDefault="00EE6B64" w:rsidP="00AB00B0">
            <w:pPr>
              <w:rPr>
                <w:sz w:val="18"/>
                <w:szCs w:val="18"/>
              </w:rPr>
            </w:pPr>
          </w:p>
        </w:tc>
        <w:tc>
          <w:tcPr>
            <w:tcW w:w="1006" w:type="dxa"/>
          </w:tcPr>
          <w:p w14:paraId="38D71FBA" w14:textId="77777777" w:rsidR="00EE6B64" w:rsidRPr="00AB00B0" w:rsidRDefault="00EE6B64" w:rsidP="00AB00B0">
            <w:pPr>
              <w:rPr>
                <w:sz w:val="18"/>
                <w:szCs w:val="18"/>
              </w:rPr>
            </w:pPr>
            <w:r w:rsidRPr="00AB00B0">
              <w:rPr>
                <w:sz w:val="18"/>
                <w:szCs w:val="18"/>
              </w:rPr>
              <w:t>10.0</w:t>
            </w:r>
          </w:p>
        </w:tc>
        <w:tc>
          <w:tcPr>
            <w:tcW w:w="1263" w:type="dxa"/>
          </w:tcPr>
          <w:p w14:paraId="2FE8E209" w14:textId="77777777" w:rsidR="00EE6B64" w:rsidRPr="00AB00B0" w:rsidRDefault="00EE6B64" w:rsidP="00AB00B0">
            <w:pPr>
              <w:rPr>
                <w:sz w:val="18"/>
                <w:szCs w:val="18"/>
              </w:rPr>
            </w:pPr>
            <w:r w:rsidRPr="00AB00B0">
              <w:rPr>
                <w:sz w:val="18"/>
                <w:szCs w:val="18"/>
              </w:rPr>
              <w:t>n/a</w:t>
            </w:r>
          </w:p>
        </w:tc>
        <w:tc>
          <w:tcPr>
            <w:tcW w:w="1572" w:type="dxa"/>
          </w:tcPr>
          <w:p w14:paraId="14344758" w14:textId="14602B09" w:rsidR="00EE6B64" w:rsidRPr="001F13F9" w:rsidRDefault="00EE6B64" w:rsidP="00AB00B0">
            <w:pPr>
              <w:rPr>
                <w:sz w:val="18"/>
                <w:szCs w:val="18"/>
              </w:rPr>
            </w:pPr>
            <w:r w:rsidRPr="001F13F9">
              <w:rPr>
                <w:sz w:val="18"/>
                <w:szCs w:val="18"/>
              </w:rPr>
              <w:t>16</w:t>
            </w:r>
            <w:r w:rsidR="00FE680F">
              <w:rPr>
                <w:sz w:val="18"/>
                <w:szCs w:val="18"/>
              </w:rPr>
              <w:t>3</w:t>
            </w:r>
            <w:r w:rsidRPr="001F13F9">
              <w:rPr>
                <w:sz w:val="18"/>
                <w:szCs w:val="18"/>
              </w:rPr>
              <w:t xml:space="preserve"> </w:t>
            </w:r>
            <w:r w:rsidRPr="001F13F9">
              <w:rPr>
                <w:rFonts w:cs="Arial"/>
                <w:sz w:val="18"/>
                <w:szCs w:val="18"/>
              </w:rPr>
              <w:t xml:space="preserve">± </w:t>
            </w:r>
            <w:r w:rsidRPr="001F13F9">
              <w:rPr>
                <w:sz w:val="18"/>
                <w:szCs w:val="18"/>
              </w:rPr>
              <w:t>71.4</w:t>
            </w:r>
          </w:p>
        </w:tc>
        <w:tc>
          <w:tcPr>
            <w:tcW w:w="1417" w:type="dxa"/>
          </w:tcPr>
          <w:p w14:paraId="34A1A6CE" w14:textId="5F5A7D17" w:rsidR="00EE6B64" w:rsidRPr="00DE717A" w:rsidRDefault="00EE6B64" w:rsidP="001F13F9">
            <w:pPr>
              <w:rPr>
                <w:sz w:val="18"/>
                <w:szCs w:val="18"/>
              </w:rPr>
            </w:pPr>
            <w:r w:rsidRPr="00DE717A">
              <w:rPr>
                <w:sz w:val="18"/>
                <w:szCs w:val="18"/>
              </w:rPr>
              <w:t xml:space="preserve">11.3 </w:t>
            </w:r>
            <w:r w:rsidRPr="00DE717A">
              <w:rPr>
                <w:rFonts w:cs="Arial"/>
                <w:sz w:val="18"/>
                <w:szCs w:val="18"/>
              </w:rPr>
              <w:t xml:space="preserve">± </w:t>
            </w:r>
            <w:r w:rsidR="00433360" w:rsidRPr="00DE717A">
              <w:rPr>
                <w:rFonts w:cs="Arial"/>
                <w:sz w:val="18"/>
                <w:szCs w:val="18"/>
              </w:rPr>
              <w:t>1</w:t>
            </w:r>
            <w:r w:rsidR="001F13F9" w:rsidRPr="00DE717A">
              <w:rPr>
                <w:rFonts w:cs="Arial"/>
                <w:sz w:val="18"/>
                <w:szCs w:val="18"/>
              </w:rPr>
              <w:t>5.2</w:t>
            </w:r>
          </w:p>
        </w:tc>
        <w:tc>
          <w:tcPr>
            <w:tcW w:w="1701" w:type="dxa"/>
          </w:tcPr>
          <w:p w14:paraId="3888EA47" w14:textId="2246C681" w:rsidR="00EE6B64" w:rsidRPr="00DE717A" w:rsidRDefault="00A737A5" w:rsidP="001F13F9">
            <w:pPr>
              <w:rPr>
                <w:sz w:val="18"/>
                <w:szCs w:val="18"/>
              </w:rPr>
            </w:pPr>
            <w:r w:rsidRPr="00DE717A">
              <w:rPr>
                <w:sz w:val="18"/>
                <w:szCs w:val="18"/>
              </w:rPr>
              <w:t>1.1</w:t>
            </w:r>
            <w:r w:rsidR="00EE6B64" w:rsidRPr="00DE717A">
              <w:rPr>
                <w:sz w:val="18"/>
                <w:szCs w:val="18"/>
              </w:rPr>
              <w:t xml:space="preserve"> </w:t>
            </w:r>
            <w:r w:rsidR="00EE6B64" w:rsidRPr="00DE717A">
              <w:rPr>
                <w:rFonts w:cs="Arial"/>
                <w:sz w:val="18"/>
                <w:szCs w:val="18"/>
              </w:rPr>
              <w:t xml:space="preserve">± </w:t>
            </w:r>
            <w:r w:rsidR="001F13F9" w:rsidRPr="00DE717A">
              <w:rPr>
                <w:rFonts w:cs="Arial"/>
                <w:sz w:val="18"/>
                <w:szCs w:val="18"/>
              </w:rPr>
              <w:t>1</w:t>
            </w:r>
            <w:r w:rsidR="00433360" w:rsidRPr="00DE717A">
              <w:rPr>
                <w:rFonts w:cs="Arial"/>
                <w:sz w:val="18"/>
                <w:szCs w:val="18"/>
              </w:rPr>
              <w:t>.</w:t>
            </w:r>
            <w:r w:rsidR="001F13F9" w:rsidRPr="00DE717A">
              <w:rPr>
                <w:rFonts w:cs="Arial"/>
                <w:sz w:val="18"/>
                <w:szCs w:val="18"/>
              </w:rPr>
              <w:t>5</w:t>
            </w:r>
          </w:p>
        </w:tc>
        <w:tc>
          <w:tcPr>
            <w:tcW w:w="709" w:type="dxa"/>
          </w:tcPr>
          <w:p w14:paraId="77907D88" w14:textId="3DBE5FDC" w:rsidR="00EE6B64" w:rsidRPr="00AB00B0" w:rsidRDefault="00A13333" w:rsidP="00AB00B0">
            <w:pPr>
              <w:rPr>
                <w:sz w:val="18"/>
                <w:szCs w:val="18"/>
              </w:rPr>
            </w:pPr>
            <w:r>
              <w:rPr>
                <w:sz w:val="18"/>
                <w:szCs w:val="18"/>
              </w:rPr>
              <w:t>NSD</w:t>
            </w:r>
          </w:p>
        </w:tc>
      </w:tr>
      <w:tr w:rsidR="00EE6B64" w:rsidRPr="00AB00B0" w14:paraId="58A29268" w14:textId="77777777" w:rsidTr="00AA2ABB">
        <w:tc>
          <w:tcPr>
            <w:tcW w:w="1116" w:type="dxa"/>
            <w:vMerge w:val="restart"/>
          </w:tcPr>
          <w:p w14:paraId="38ADC848" w14:textId="77777777" w:rsidR="00EE6B64" w:rsidRPr="00AB00B0" w:rsidRDefault="00EE6B64" w:rsidP="00AB00B0">
            <w:pPr>
              <w:rPr>
                <w:sz w:val="18"/>
                <w:szCs w:val="18"/>
              </w:rPr>
            </w:pPr>
            <w:r w:rsidRPr="00AB00B0">
              <w:rPr>
                <w:sz w:val="18"/>
                <w:szCs w:val="18"/>
              </w:rPr>
              <w:t>van Dokkum (1999)</w:t>
            </w:r>
          </w:p>
        </w:tc>
        <w:tc>
          <w:tcPr>
            <w:tcW w:w="1006" w:type="dxa"/>
          </w:tcPr>
          <w:p w14:paraId="7DE943E6" w14:textId="77777777" w:rsidR="00EE6B64" w:rsidRPr="00AB00B0" w:rsidRDefault="00EE6B64" w:rsidP="00AB00B0">
            <w:pPr>
              <w:rPr>
                <w:sz w:val="18"/>
                <w:szCs w:val="18"/>
              </w:rPr>
            </w:pPr>
            <w:r w:rsidRPr="00AB00B0">
              <w:rPr>
                <w:sz w:val="18"/>
                <w:szCs w:val="18"/>
              </w:rPr>
              <w:t>0.0</w:t>
            </w:r>
          </w:p>
        </w:tc>
        <w:tc>
          <w:tcPr>
            <w:tcW w:w="1263" w:type="dxa"/>
          </w:tcPr>
          <w:p w14:paraId="78DED546" w14:textId="77777777" w:rsidR="00EE6B64" w:rsidRPr="00AB00B0" w:rsidRDefault="00EE6B64" w:rsidP="00AB00B0">
            <w:pPr>
              <w:rPr>
                <w:sz w:val="18"/>
                <w:szCs w:val="18"/>
              </w:rPr>
            </w:pPr>
            <w:r w:rsidRPr="00AB00B0">
              <w:rPr>
                <w:sz w:val="18"/>
                <w:szCs w:val="18"/>
              </w:rPr>
              <w:t>n/a</w:t>
            </w:r>
          </w:p>
        </w:tc>
        <w:tc>
          <w:tcPr>
            <w:tcW w:w="1572" w:type="dxa"/>
          </w:tcPr>
          <w:p w14:paraId="17A8CF0D" w14:textId="14F4A3C5" w:rsidR="00EE6B64" w:rsidRPr="00AB00B0" w:rsidRDefault="00EE6B64" w:rsidP="00AB00B0">
            <w:pPr>
              <w:rPr>
                <w:sz w:val="18"/>
                <w:szCs w:val="18"/>
              </w:rPr>
            </w:pPr>
            <w:r w:rsidRPr="00AB00B0">
              <w:rPr>
                <w:sz w:val="18"/>
                <w:szCs w:val="18"/>
              </w:rPr>
              <w:t xml:space="preserve">129 </w:t>
            </w:r>
            <w:r w:rsidRPr="00AB00B0">
              <w:rPr>
                <w:rFonts w:cs="Arial"/>
                <w:sz w:val="18"/>
                <w:szCs w:val="18"/>
              </w:rPr>
              <w:t>± 42.5</w:t>
            </w:r>
          </w:p>
        </w:tc>
        <w:tc>
          <w:tcPr>
            <w:tcW w:w="1417" w:type="dxa"/>
          </w:tcPr>
          <w:p w14:paraId="421BD980" w14:textId="77777777" w:rsidR="00EE6B64" w:rsidRPr="00DE717A" w:rsidRDefault="00EE6B64" w:rsidP="00AB00B0">
            <w:pPr>
              <w:rPr>
                <w:sz w:val="18"/>
                <w:szCs w:val="18"/>
              </w:rPr>
            </w:pPr>
            <w:r w:rsidRPr="00DE717A">
              <w:rPr>
                <w:sz w:val="18"/>
                <w:szCs w:val="18"/>
              </w:rPr>
              <w:t>n/a</w:t>
            </w:r>
          </w:p>
        </w:tc>
        <w:tc>
          <w:tcPr>
            <w:tcW w:w="1701" w:type="dxa"/>
          </w:tcPr>
          <w:p w14:paraId="4173CAAF" w14:textId="77777777" w:rsidR="00EE6B64" w:rsidRPr="00DE717A" w:rsidRDefault="00EE6B64" w:rsidP="00AB00B0">
            <w:pPr>
              <w:rPr>
                <w:sz w:val="18"/>
                <w:szCs w:val="18"/>
              </w:rPr>
            </w:pPr>
            <w:r w:rsidRPr="00DE717A">
              <w:rPr>
                <w:sz w:val="18"/>
                <w:szCs w:val="18"/>
              </w:rPr>
              <w:t>n/a</w:t>
            </w:r>
          </w:p>
        </w:tc>
        <w:tc>
          <w:tcPr>
            <w:tcW w:w="709" w:type="dxa"/>
          </w:tcPr>
          <w:p w14:paraId="1233647C" w14:textId="2F6D1C27" w:rsidR="00EE6B64" w:rsidRPr="00AB00B0" w:rsidRDefault="00A13333" w:rsidP="00AB00B0">
            <w:pPr>
              <w:rPr>
                <w:sz w:val="18"/>
                <w:szCs w:val="18"/>
              </w:rPr>
            </w:pPr>
            <w:r>
              <w:rPr>
                <w:sz w:val="18"/>
                <w:szCs w:val="18"/>
              </w:rPr>
              <w:t>n/a</w:t>
            </w:r>
          </w:p>
        </w:tc>
      </w:tr>
      <w:tr w:rsidR="00EE6B64" w:rsidRPr="00AB00B0" w14:paraId="3CC59BCE" w14:textId="77777777" w:rsidTr="00AA2ABB">
        <w:tc>
          <w:tcPr>
            <w:tcW w:w="1116" w:type="dxa"/>
            <w:vMerge/>
          </w:tcPr>
          <w:p w14:paraId="6FD783CF" w14:textId="77777777" w:rsidR="00EE6B64" w:rsidRPr="00AB00B0" w:rsidRDefault="00EE6B64" w:rsidP="00AB00B0">
            <w:pPr>
              <w:rPr>
                <w:sz w:val="18"/>
                <w:szCs w:val="18"/>
              </w:rPr>
            </w:pPr>
          </w:p>
        </w:tc>
        <w:tc>
          <w:tcPr>
            <w:tcW w:w="1006" w:type="dxa"/>
          </w:tcPr>
          <w:p w14:paraId="39E888D9" w14:textId="77777777" w:rsidR="00EE6B64" w:rsidRPr="00AB00B0" w:rsidRDefault="00EE6B64" w:rsidP="00AB00B0">
            <w:pPr>
              <w:rPr>
                <w:sz w:val="18"/>
                <w:szCs w:val="18"/>
              </w:rPr>
            </w:pPr>
            <w:r w:rsidRPr="00AB00B0">
              <w:rPr>
                <w:sz w:val="18"/>
                <w:szCs w:val="18"/>
              </w:rPr>
              <w:t>15.0</w:t>
            </w:r>
          </w:p>
        </w:tc>
        <w:tc>
          <w:tcPr>
            <w:tcW w:w="1263" w:type="dxa"/>
          </w:tcPr>
          <w:p w14:paraId="28D6AEFF" w14:textId="77777777" w:rsidR="00EE6B64" w:rsidRPr="00AB00B0" w:rsidRDefault="00EE6B64" w:rsidP="00AB00B0">
            <w:pPr>
              <w:rPr>
                <w:sz w:val="18"/>
                <w:szCs w:val="18"/>
              </w:rPr>
            </w:pPr>
            <w:r w:rsidRPr="00AB00B0">
              <w:rPr>
                <w:sz w:val="18"/>
                <w:szCs w:val="18"/>
              </w:rPr>
              <w:t>n/a</w:t>
            </w:r>
          </w:p>
        </w:tc>
        <w:tc>
          <w:tcPr>
            <w:tcW w:w="1572" w:type="dxa"/>
          </w:tcPr>
          <w:p w14:paraId="4F042F06" w14:textId="22C42A3F" w:rsidR="00EE6B64" w:rsidRPr="00AB00B0" w:rsidRDefault="00EE6B64" w:rsidP="00AB00B0">
            <w:pPr>
              <w:rPr>
                <w:sz w:val="18"/>
                <w:szCs w:val="18"/>
              </w:rPr>
            </w:pPr>
            <w:r w:rsidRPr="00AB00B0">
              <w:rPr>
                <w:sz w:val="18"/>
                <w:szCs w:val="18"/>
              </w:rPr>
              <w:t>14</w:t>
            </w:r>
            <w:r w:rsidR="00FE680F">
              <w:rPr>
                <w:sz w:val="18"/>
                <w:szCs w:val="18"/>
              </w:rPr>
              <w:t>9</w:t>
            </w:r>
            <w:r w:rsidRPr="00AB00B0">
              <w:rPr>
                <w:sz w:val="18"/>
                <w:szCs w:val="18"/>
              </w:rPr>
              <w:t xml:space="preserve"> </w:t>
            </w:r>
            <w:r w:rsidRPr="00AB00B0">
              <w:rPr>
                <w:rFonts w:cs="Arial"/>
                <w:sz w:val="18"/>
                <w:szCs w:val="18"/>
              </w:rPr>
              <w:t>± 51.5</w:t>
            </w:r>
          </w:p>
        </w:tc>
        <w:tc>
          <w:tcPr>
            <w:tcW w:w="1417" w:type="dxa"/>
          </w:tcPr>
          <w:p w14:paraId="6E8CD078" w14:textId="4E65D83D" w:rsidR="00EE6B64" w:rsidRPr="00DE717A" w:rsidRDefault="00EE6B64" w:rsidP="001F13F9">
            <w:pPr>
              <w:rPr>
                <w:sz w:val="18"/>
                <w:szCs w:val="18"/>
              </w:rPr>
            </w:pPr>
            <w:r w:rsidRPr="00DE717A">
              <w:rPr>
                <w:sz w:val="18"/>
                <w:szCs w:val="18"/>
              </w:rPr>
              <w:t xml:space="preserve">19.5 </w:t>
            </w:r>
            <w:r w:rsidRPr="00DE717A">
              <w:rPr>
                <w:rFonts w:cs="Arial"/>
                <w:sz w:val="18"/>
                <w:szCs w:val="18"/>
              </w:rPr>
              <w:t xml:space="preserve">± </w:t>
            </w:r>
            <w:r w:rsidR="001F13F9" w:rsidRPr="00DE717A">
              <w:rPr>
                <w:rFonts w:cs="Arial"/>
                <w:sz w:val="18"/>
                <w:szCs w:val="18"/>
              </w:rPr>
              <w:t>10.8</w:t>
            </w:r>
          </w:p>
        </w:tc>
        <w:tc>
          <w:tcPr>
            <w:tcW w:w="1701" w:type="dxa"/>
          </w:tcPr>
          <w:p w14:paraId="2B267CE3" w14:textId="62B55194" w:rsidR="00EE6B64" w:rsidRPr="00DE717A" w:rsidRDefault="00EE6B64" w:rsidP="00304560">
            <w:pPr>
              <w:rPr>
                <w:sz w:val="18"/>
                <w:szCs w:val="18"/>
              </w:rPr>
            </w:pPr>
            <w:r w:rsidRPr="00DE717A">
              <w:rPr>
                <w:sz w:val="18"/>
                <w:szCs w:val="18"/>
              </w:rPr>
              <w:t xml:space="preserve">1.3 </w:t>
            </w:r>
            <w:r w:rsidRPr="00DE717A">
              <w:rPr>
                <w:rFonts w:cs="Arial"/>
                <w:sz w:val="18"/>
                <w:szCs w:val="18"/>
              </w:rPr>
              <w:t xml:space="preserve">± </w:t>
            </w:r>
            <w:r w:rsidR="001F13F9" w:rsidRPr="00DE717A">
              <w:rPr>
                <w:rFonts w:cs="Arial"/>
                <w:sz w:val="18"/>
                <w:szCs w:val="18"/>
              </w:rPr>
              <w:t>0.7</w:t>
            </w:r>
          </w:p>
        </w:tc>
        <w:tc>
          <w:tcPr>
            <w:tcW w:w="709" w:type="dxa"/>
          </w:tcPr>
          <w:p w14:paraId="7E91DC83" w14:textId="2FADF284" w:rsidR="00EE6B64" w:rsidRPr="00AB00B0" w:rsidRDefault="00612D5D" w:rsidP="00AB00B0">
            <w:pPr>
              <w:rPr>
                <w:sz w:val="18"/>
                <w:szCs w:val="18"/>
              </w:rPr>
            </w:pPr>
            <w:r>
              <w:rPr>
                <w:sz w:val="18"/>
                <w:szCs w:val="18"/>
              </w:rPr>
              <w:t>NSD</w:t>
            </w:r>
          </w:p>
        </w:tc>
      </w:tr>
      <w:tr w:rsidR="00EE6B64" w:rsidRPr="00AB00B0" w14:paraId="187A6F23" w14:textId="77777777" w:rsidTr="00AA2ABB">
        <w:tc>
          <w:tcPr>
            <w:tcW w:w="1116" w:type="dxa"/>
            <w:vMerge w:val="restart"/>
          </w:tcPr>
          <w:p w14:paraId="03F6FE63" w14:textId="77777777" w:rsidR="00EE6B64" w:rsidRPr="00AB00B0" w:rsidRDefault="00EE6B64" w:rsidP="00AB00B0">
            <w:pPr>
              <w:rPr>
                <w:sz w:val="18"/>
                <w:szCs w:val="18"/>
              </w:rPr>
            </w:pPr>
            <w:r w:rsidRPr="00AB00B0">
              <w:rPr>
                <w:sz w:val="18"/>
                <w:szCs w:val="18"/>
              </w:rPr>
              <w:t>Alles (1999)</w:t>
            </w:r>
          </w:p>
        </w:tc>
        <w:tc>
          <w:tcPr>
            <w:tcW w:w="1006" w:type="dxa"/>
          </w:tcPr>
          <w:p w14:paraId="3589D98F" w14:textId="77777777" w:rsidR="00EE6B64" w:rsidRPr="00AB00B0" w:rsidRDefault="00EE6B64" w:rsidP="00AB00B0">
            <w:pPr>
              <w:rPr>
                <w:sz w:val="18"/>
                <w:szCs w:val="18"/>
                <w:vertAlign w:val="superscript"/>
              </w:rPr>
            </w:pPr>
            <w:r w:rsidRPr="00AB00B0">
              <w:rPr>
                <w:sz w:val="18"/>
                <w:szCs w:val="18"/>
              </w:rPr>
              <w:t>0.0</w:t>
            </w:r>
          </w:p>
        </w:tc>
        <w:tc>
          <w:tcPr>
            <w:tcW w:w="1263" w:type="dxa"/>
          </w:tcPr>
          <w:p w14:paraId="046C0245" w14:textId="77777777" w:rsidR="00EE6B64" w:rsidRPr="00AB00B0" w:rsidRDefault="00EE6B64" w:rsidP="00AB00B0">
            <w:pPr>
              <w:rPr>
                <w:sz w:val="18"/>
                <w:szCs w:val="18"/>
              </w:rPr>
            </w:pPr>
            <w:r w:rsidRPr="00AB00B0">
              <w:rPr>
                <w:sz w:val="18"/>
                <w:szCs w:val="18"/>
              </w:rPr>
              <w:t xml:space="preserve">147 </w:t>
            </w:r>
            <w:r w:rsidRPr="00AB00B0">
              <w:rPr>
                <w:rFonts w:cs="Arial"/>
                <w:sz w:val="18"/>
                <w:szCs w:val="18"/>
              </w:rPr>
              <w:t>± 11</w:t>
            </w:r>
          </w:p>
        </w:tc>
        <w:tc>
          <w:tcPr>
            <w:tcW w:w="1572" w:type="dxa"/>
          </w:tcPr>
          <w:p w14:paraId="3E9FB0D6" w14:textId="77777777" w:rsidR="00EE6B64" w:rsidRPr="00AB00B0" w:rsidRDefault="00EE6B64" w:rsidP="00AB00B0">
            <w:pPr>
              <w:rPr>
                <w:sz w:val="18"/>
                <w:szCs w:val="18"/>
              </w:rPr>
            </w:pPr>
            <w:r w:rsidRPr="00AB00B0">
              <w:rPr>
                <w:sz w:val="18"/>
                <w:szCs w:val="18"/>
              </w:rPr>
              <w:t xml:space="preserve">139 </w:t>
            </w:r>
            <w:r w:rsidRPr="00AB00B0">
              <w:rPr>
                <w:rFonts w:cs="Arial"/>
                <w:sz w:val="18"/>
                <w:szCs w:val="18"/>
              </w:rPr>
              <w:t>± 14</w:t>
            </w:r>
          </w:p>
        </w:tc>
        <w:tc>
          <w:tcPr>
            <w:tcW w:w="1417" w:type="dxa"/>
          </w:tcPr>
          <w:p w14:paraId="0F4FDC2F" w14:textId="77777777" w:rsidR="00EE6B64" w:rsidRPr="00B00103" w:rsidRDefault="00EE6B64" w:rsidP="00AB00B0">
            <w:pPr>
              <w:rPr>
                <w:sz w:val="18"/>
                <w:szCs w:val="18"/>
              </w:rPr>
            </w:pPr>
            <w:r w:rsidRPr="00B00103">
              <w:rPr>
                <w:sz w:val="18"/>
                <w:szCs w:val="18"/>
              </w:rPr>
              <w:t>n/a</w:t>
            </w:r>
          </w:p>
        </w:tc>
        <w:tc>
          <w:tcPr>
            <w:tcW w:w="1701" w:type="dxa"/>
          </w:tcPr>
          <w:p w14:paraId="05BEB3C5" w14:textId="77777777" w:rsidR="00EE6B64" w:rsidRPr="0087653D" w:rsidRDefault="00EE6B64" w:rsidP="00AB00B0">
            <w:pPr>
              <w:rPr>
                <w:sz w:val="18"/>
                <w:szCs w:val="18"/>
              </w:rPr>
            </w:pPr>
            <w:r w:rsidRPr="0087653D">
              <w:rPr>
                <w:sz w:val="18"/>
                <w:szCs w:val="18"/>
              </w:rPr>
              <w:t>n/a</w:t>
            </w:r>
          </w:p>
        </w:tc>
        <w:tc>
          <w:tcPr>
            <w:tcW w:w="709" w:type="dxa"/>
          </w:tcPr>
          <w:p w14:paraId="000344FE" w14:textId="6DDCB058" w:rsidR="00EE6B64" w:rsidRPr="00AB00B0" w:rsidRDefault="006A09D6" w:rsidP="006A09D6">
            <w:pPr>
              <w:rPr>
                <w:sz w:val="18"/>
                <w:szCs w:val="18"/>
              </w:rPr>
            </w:pPr>
            <w:r>
              <w:rPr>
                <w:sz w:val="18"/>
                <w:szCs w:val="18"/>
              </w:rPr>
              <w:t>n/a</w:t>
            </w:r>
          </w:p>
        </w:tc>
      </w:tr>
      <w:tr w:rsidR="00EE6B64" w:rsidRPr="00AB00B0" w14:paraId="0E397E07" w14:textId="77777777" w:rsidTr="00AA2ABB">
        <w:tc>
          <w:tcPr>
            <w:tcW w:w="1116" w:type="dxa"/>
            <w:vMerge/>
          </w:tcPr>
          <w:p w14:paraId="2C06414C" w14:textId="77777777" w:rsidR="00EE6B64" w:rsidRPr="00AB00B0" w:rsidRDefault="00EE6B64" w:rsidP="00AB00B0">
            <w:pPr>
              <w:rPr>
                <w:sz w:val="18"/>
                <w:szCs w:val="18"/>
              </w:rPr>
            </w:pPr>
          </w:p>
        </w:tc>
        <w:tc>
          <w:tcPr>
            <w:tcW w:w="1006" w:type="dxa"/>
          </w:tcPr>
          <w:p w14:paraId="0703CF07" w14:textId="255E0484" w:rsidR="00EE6B64" w:rsidRPr="00AB00B0" w:rsidRDefault="00EE6B64" w:rsidP="00AB00B0">
            <w:pPr>
              <w:rPr>
                <w:sz w:val="18"/>
                <w:szCs w:val="18"/>
                <w:vertAlign w:val="superscript"/>
              </w:rPr>
            </w:pPr>
            <w:r w:rsidRPr="00AB00B0">
              <w:rPr>
                <w:sz w:val="18"/>
                <w:szCs w:val="18"/>
              </w:rPr>
              <w:t>8.5</w:t>
            </w:r>
            <w:r w:rsidR="004E2C59" w:rsidRPr="004E2C59">
              <w:rPr>
                <w:sz w:val="18"/>
                <w:szCs w:val="18"/>
                <w:vertAlign w:val="superscript"/>
              </w:rPr>
              <w:t>8</w:t>
            </w:r>
          </w:p>
        </w:tc>
        <w:tc>
          <w:tcPr>
            <w:tcW w:w="1263" w:type="dxa"/>
          </w:tcPr>
          <w:p w14:paraId="3829E32C" w14:textId="77777777" w:rsidR="00EE6B64" w:rsidRPr="00AB00B0" w:rsidRDefault="00EE6B64" w:rsidP="00AB00B0">
            <w:pPr>
              <w:rPr>
                <w:sz w:val="18"/>
                <w:szCs w:val="18"/>
              </w:rPr>
            </w:pPr>
            <w:r w:rsidRPr="00AB00B0">
              <w:rPr>
                <w:sz w:val="18"/>
                <w:szCs w:val="18"/>
              </w:rPr>
              <w:t xml:space="preserve">113 </w:t>
            </w:r>
            <w:r w:rsidRPr="00AB00B0">
              <w:rPr>
                <w:rFonts w:cs="Arial"/>
                <w:sz w:val="18"/>
                <w:szCs w:val="18"/>
              </w:rPr>
              <w:t>± 12</w:t>
            </w:r>
          </w:p>
        </w:tc>
        <w:tc>
          <w:tcPr>
            <w:tcW w:w="1572" w:type="dxa"/>
          </w:tcPr>
          <w:p w14:paraId="39FCE3D7" w14:textId="77777777" w:rsidR="00EE6B64" w:rsidRPr="00AB00B0" w:rsidRDefault="00EE6B64" w:rsidP="00AB00B0">
            <w:pPr>
              <w:rPr>
                <w:sz w:val="18"/>
                <w:szCs w:val="18"/>
              </w:rPr>
            </w:pPr>
            <w:r w:rsidRPr="00AB00B0">
              <w:rPr>
                <w:sz w:val="18"/>
                <w:szCs w:val="18"/>
              </w:rPr>
              <w:t xml:space="preserve">127 </w:t>
            </w:r>
            <w:r w:rsidRPr="00AB00B0">
              <w:rPr>
                <w:rFonts w:cs="Arial"/>
                <w:sz w:val="18"/>
                <w:szCs w:val="18"/>
              </w:rPr>
              <w:t>± 14</w:t>
            </w:r>
          </w:p>
        </w:tc>
        <w:tc>
          <w:tcPr>
            <w:tcW w:w="1417" w:type="dxa"/>
          </w:tcPr>
          <w:p w14:paraId="35BD90F6" w14:textId="6C26C1CF" w:rsidR="00EE6B64" w:rsidRPr="00B00103" w:rsidRDefault="00EE6B64" w:rsidP="00E77D9D">
            <w:pPr>
              <w:rPr>
                <w:sz w:val="18"/>
                <w:szCs w:val="18"/>
              </w:rPr>
            </w:pPr>
            <w:r w:rsidRPr="00B00103">
              <w:rPr>
                <w:sz w:val="18"/>
                <w:szCs w:val="18"/>
              </w:rPr>
              <w:t xml:space="preserve">22.3 </w:t>
            </w:r>
            <w:r w:rsidR="00C02068" w:rsidRPr="00B00103">
              <w:rPr>
                <w:rFonts w:cs="Arial"/>
                <w:sz w:val="18"/>
                <w:szCs w:val="18"/>
              </w:rPr>
              <w:t xml:space="preserve">± </w:t>
            </w:r>
            <w:r w:rsidR="00691F55" w:rsidRPr="00B00103">
              <w:rPr>
                <w:rFonts w:cs="Arial"/>
                <w:sz w:val="18"/>
                <w:szCs w:val="18"/>
              </w:rPr>
              <w:t>22.2</w:t>
            </w:r>
          </w:p>
        </w:tc>
        <w:tc>
          <w:tcPr>
            <w:tcW w:w="1701" w:type="dxa"/>
          </w:tcPr>
          <w:p w14:paraId="446F0FC0" w14:textId="1B25E23D" w:rsidR="00EE6B64" w:rsidRPr="0087653D" w:rsidRDefault="00EE6B64" w:rsidP="00A737A5">
            <w:pPr>
              <w:rPr>
                <w:sz w:val="18"/>
                <w:szCs w:val="18"/>
              </w:rPr>
            </w:pPr>
            <w:r w:rsidRPr="0087653D">
              <w:rPr>
                <w:sz w:val="18"/>
                <w:szCs w:val="18"/>
              </w:rPr>
              <w:t xml:space="preserve">2.6 </w:t>
            </w:r>
            <w:r w:rsidR="00C02068" w:rsidRPr="0087653D">
              <w:rPr>
                <w:rFonts w:cs="Arial"/>
                <w:sz w:val="18"/>
                <w:szCs w:val="18"/>
              </w:rPr>
              <w:t xml:space="preserve">± </w:t>
            </w:r>
            <w:r w:rsidR="00E15E55">
              <w:rPr>
                <w:rFonts w:cs="Arial"/>
                <w:sz w:val="18"/>
                <w:szCs w:val="18"/>
              </w:rPr>
              <w:t>2.6</w:t>
            </w:r>
          </w:p>
        </w:tc>
        <w:tc>
          <w:tcPr>
            <w:tcW w:w="709" w:type="dxa"/>
          </w:tcPr>
          <w:p w14:paraId="73BBFF2E" w14:textId="585D184A" w:rsidR="00EE6B64" w:rsidRPr="00AB00B0" w:rsidRDefault="006A09D6" w:rsidP="00AB00B0">
            <w:pPr>
              <w:rPr>
                <w:sz w:val="18"/>
                <w:szCs w:val="18"/>
              </w:rPr>
            </w:pPr>
            <w:r>
              <w:rPr>
                <w:sz w:val="18"/>
                <w:szCs w:val="18"/>
              </w:rPr>
              <w:t>NSD</w:t>
            </w:r>
          </w:p>
        </w:tc>
      </w:tr>
      <w:tr w:rsidR="00EE6B64" w:rsidRPr="00AB00B0" w14:paraId="3C69DE33" w14:textId="77777777" w:rsidTr="00AA2ABB">
        <w:tc>
          <w:tcPr>
            <w:tcW w:w="1116" w:type="dxa"/>
            <w:vMerge/>
          </w:tcPr>
          <w:p w14:paraId="4EA47ED3" w14:textId="77777777" w:rsidR="00EE6B64" w:rsidRPr="00AB00B0" w:rsidRDefault="00EE6B64" w:rsidP="00AB00B0">
            <w:pPr>
              <w:rPr>
                <w:sz w:val="18"/>
                <w:szCs w:val="18"/>
              </w:rPr>
            </w:pPr>
          </w:p>
        </w:tc>
        <w:tc>
          <w:tcPr>
            <w:tcW w:w="1006" w:type="dxa"/>
          </w:tcPr>
          <w:p w14:paraId="17A24BE8" w14:textId="71FBEFD1" w:rsidR="00EE6B64" w:rsidRPr="00AB00B0" w:rsidRDefault="00EE6B64" w:rsidP="00AB00B0">
            <w:pPr>
              <w:rPr>
                <w:sz w:val="18"/>
                <w:szCs w:val="18"/>
                <w:vertAlign w:val="superscript"/>
              </w:rPr>
            </w:pPr>
            <w:r w:rsidRPr="00AB00B0">
              <w:rPr>
                <w:sz w:val="18"/>
                <w:szCs w:val="18"/>
              </w:rPr>
              <w:t>14.4</w:t>
            </w:r>
            <w:r w:rsidR="004E2C59" w:rsidRPr="004E2C59">
              <w:rPr>
                <w:sz w:val="18"/>
                <w:szCs w:val="18"/>
                <w:vertAlign w:val="superscript"/>
              </w:rPr>
              <w:t>8</w:t>
            </w:r>
          </w:p>
        </w:tc>
        <w:tc>
          <w:tcPr>
            <w:tcW w:w="1263" w:type="dxa"/>
          </w:tcPr>
          <w:p w14:paraId="4846C24C" w14:textId="77777777" w:rsidR="00EE6B64" w:rsidRPr="00AB00B0" w:rsidRDefault="00EE6B64" w:rsidP="00AB00B0">
            <w:pPr>
              <w:rPr>
                <w:sz w:val="18"/>
                <w:szCs w:val="18"/>
              </w:rPr>
            </w:pPr>
            <w:r w:rsidRPr="00AB00B0">
              <w:rPr>
                <w:sz w:val="18"/>
                <w:szCs w:val="18"/>
              </w:rPr>
              <w:t xml:space="preserve">146 </w:t>
            </w:r>
            <w:r w:rsidRPr="00AB00B0">
              <w:rPr>
                <w:rFonts w:cs="Arial"/>
                <w:sz w:val="18"/>
                <w:szCs w:val="18"/>
              </w:rPr>
              <w:t>± 22</w:t>
            </w:r>
          </w:p>
        </w:tc>
        <w:tc>
          <w:tcPr>
            <w:tcW w:w="1572" w:type="dxa"/>
          </w:tcPr>
          <w:p w14:paraId="5D98AE3B" w14:textId="77777777" w:rsidR="00EE6B64" w:rsidRPr="007B77D8" w:rsidRDefault="00EE6B64" w:rsidP="00AB00B0">
            <w:pPr>
              <w:rPr>
                <w:sz w:val="18"/>
                <w:szCs w:val="18"/>
              </w:rPr>
            </w:pPr>
            <w:r w:rsidRPr="007B77D8">
              <w:rPr>
                <w:sz w:val="18"/>
                <w:szCs w:val="18"/>
              </w:rPr>
              <w:t xml:space="preserve">142 </w:t>
            </w:r>
            <w:r w:rsidRPr="007B77D8">
              <w:rPr>
                <w:rFonts w:cs="Arial"/>
                <w:sz w:val="18"/>
                <w:szCs w:val="18"/>
              </w:rPr>
              <w:t>± 18</w:t>
            </w:r>
          </w:p>
        </w:tc>
        <w:tc>
          <w:tcPr>
            <w:tcW w:w="1417" w:type="dxa"/>
          </w:tcPr>
          <w:p w14:paraId="4560F85B" w14:textId="30C4DA53" w:rsidR="00EE6B64" w:rsidRPr="00B00103" w:rsidRDefault="00EE6B64" w:rsidP="00A737A5">
            <w:pPr>
              <w:rPr>
                <w:sz w:val="18"/>
                <w:szCs w:val="18"/>
              </w:rPr>
            </w:pPr>
            <w:r w:rsidRPr="00B00103">
              <w:rPr>
                <w:sz w:val="18"/>
                <w:szCs w:val="18"/>
              </w:rPr>
              <w:t xml:space="preserve">3.5 </w:t>
            </w:r>
            <w:r w:rsidR="00C02068" w:rsidRPr="00B00103">
              <w:rPr>
                <w:rFonts w:cs="Arial"/>
                <w:sz w:val="18"/>
                <w:szCs w:val="18"/>
              </w:rPr>
              <w:t xml:space="preserve">± </w:t>
            </w:r>
            <w:r w:rsidR="00691F55" w:rsidRPr="00B00103">
              <w:rPr>
                <w:rFonts w:cs="Arial"/>
                <w:sz w:val="18"/>
                <w:szCs w:val="18"/>
              </w:rPr>
              <w:t>21.8</w:t>
            </w:r>
          </w:p>
        </w:tc>
        <w:tc>
          <w:tcPr>
            <w:tcW w:w="1701" w:type="dxa"/>
          </w:tcPr>
          <w:p w14:paraId="34249C9E" w14:textId="4FC7447B" w:rsidR="00EE6B64" w:rsidRPr="0087653D" w:rsidRDefault="00EE6B64" w:rsidP="00A737A5">
            <w:pPr>
              <w:rPr>
                <w:sz w:val="18"/>
                <w:szCs w:val="18"/>
              </w:rPr>
            </w:pPr>
            <w:r w:rsidRPr="0087653D">
              <w:rPr>
                <w:sz w:val="18"/>
                <w:szCs w:val="18"/>
              </w:rPr>
              <w:t xml:space="preserve">0.2 </w:t>
            </w:r>
            <w:r w:rsidR="00E15E55">
              <w:rPr>
                <w:rFonts w:cs="Arial"/>
                <w:sz w:val="18"/>
                <w:szCs w:val="18"/>
              </w:rPr>
              <w:t>± 1.5</w:t>
            </w:r>
          </w:p>
        </w:tc>
        <w:tc>
          <w:tcPr>
            <w:tcW w:w="709" w:type="dxa"/>
          </w:tcPr>
          <w:p w14:paraId="7B991FE7" w14:textId="0B4F517C" w:rsidR="00EE6B64" w:rsidRPr="00AB00B0" w:rsidRDefault="006A09D6" w:rsidP="00AB00B0">
            <w:pPr>
              <w:rPr>
                <w:sz w:val="18"/>
                <w:szCs w:val="18"/>
              </w:rPr>
            </w:pPr>
            <w:r>
              <w:rPr>
                <w:sz w:val="18"/>
                <w:szCs w:val="18"/>
              </w:rPr>
              <w:t>NSD</w:t>
            </w:r>
          </w:p>
        </w:tc>
      </w:tr>
    </w:tbl>
    <w:p w14:paraId="447E18FA" w14:textId="442FBC22" w:rsidR="0036605F" w:rsidRPr="00AB00B0" w:rsidRDefault="0036605F" w:rsidP="0036605F">
      <w:pPr>
        <w:rPr>
          <w:sz w:val="18"/>
          <w:szCs w:val="18"/>
        </w:rPr>
      </w:pPr>
      <w:r w:rsidRPr="00AB00B0">
        <w:rPr>
          <w:sz w:val="18"/>
          <w:szCs w:val="18"/>
        </w:rPr>
        <w:t>GOS, galacto-oligosaccharide; g, gram; n/a, not applicable</w:t>
      </w:r>
      <w:r w:rsidR="003430A7">
        <w:rPr>
          <w:sz w:val="18"/>
          <w:szCs w:val="18"/>
        </w:rPr>
        <w:t xml:space="preserve"> or not available</w:t>
      </w:r>
      <w:r w:rsidRPr="00AB00B0">
        <w:rPr>
          <w:sz w:val="18"/>
          <w:szCs w:val="18"/>
        </w:rPr>
        <w:t xml:space="preserve">; </w:t>
      </w:r>
      <w:r w:rsidR="0087653D">
        <w:rPr>
          <w:sz w:val="18"/>
          <w:szCs w:val="18"/>
        </w:rPr>
        <w:t>SE</w:t>
      </w:r>
      <w:r w:rsidRPr="00AB00B0">
        <w:rPr>
          <w:sz w:val="18"/>
          <w:szCs w:val="18"/>
        </w:rPr>
        <w:t xml:space="preserve">, standard error of </w:t>
      </w:r>
      <w:r w:rsidR="00AD2B94" w:rsidRPr="00AB00B0">
        <w:rPr>
          <w:sz w:val="18"/>
          <w:szCs w:val="18"/>
        </w:rPr>
        <w:t xml:space="preserve">the </w:t>
      </w:r>
      <w:r w:rsidRPr="00AB00B0">
        <w:rPr>
          <w:sz w:val="18"/>
          <w:szCs w:val="18"/>
        </w:rPr>
        <w:t xml:space="preserve">mean; SD, standard deviation; </w:t>
      </w:r>
      <w:r w:rsidR="00D47F2D">
        <w:rPr>
          <w:sz w:val="18"/>
          <w:szCs w:val="18"/>
        </w:rPr>
        <w:t>N</w:t>
      </w:r>
      <w:r w:rsidR="006A09D6">
        <w:rPr>
          <w:sz w:val="18"/>
          <w:szCs w:val="18"/>
        </w:rPr>
        <w:t>SD, not significantly different</w:t>
      </w:r>
      <w:r w:rsidR="00D47F2D">
        <w:rPr>
          <w:sz w:val="18"/>
          <w:szCs w:val="18"/>
        </w:rPr>
        <w:t xml:space="preserve"> (</w:t>
      </w:r>
      <w:r w:rsidR="00D47F2D">
        <w:rPr>
          <w:i/>
          <w:sz w:val="18"/>
          <w:szCs w:val="18"/>
        </w:rPr>
        <w:t>P</w:t>
      </w:r>
      <w:r w:rsidR="00D47F2D">
        <w:rPr>
          <w:sz w:val="18"/>
          <w:szCs w:val="18"/>
        </w:rPr>
        <w:t>&gt;0.05)</w:t>
      </w:r>
      <w:r w:rsidR="006A09D6">
        <w:rPr>
          <w:sz w:val="18"/>
          <w:szCs w:val="18"/>
        </w:rPr>
        <w:t>.</w:t>
      </w:r>
    </w:p>
    <w:p w14:paraId="34910F7B" w14:textId="3B88EA36" w:rsidR="0036605F" w:rsidRPr="00AB00B0" w:rsidRDefault="0036605F" w:rsidP="0036605F">
      <w:pPr>
        <w:rPr>
          <w:sz w:val="18"/>
          <w:szCs w:val="18"/>
        </w:rPr>
      </w:pPr>
      <w:r w:rsidRPr="00AB00B0">
        <w:rPr>
          <w:sz w:val="18"/>
          <w:szCs w:val="18"/>
          <w:vertAlign w:val="superscript"/>
        </w:rPr>
        <w:t>1</w:t>
      </w:r>
      <w:r w:rsidRPr="00AB00B0">
        <w:rPr>
          <w:sz w:val="18"/>
          <w:szCs w:val="18"/>
        </w:rPr>
        <w:t xml:space="preserve"> Baseline stool weight </w:t>
      </w:r>
      <w:r w:rsidR="009925A0" w:rsidRPr="00AB00B0">
        <w:rPr>
          <w:sz w:val="18"/>
          <w:szCs w:val="18"/>
        </w:rPr>
        <w:t xml:space="preserve">is </w:t>
      </w:r>
      <w:r w:rsidRPr="00AB00B0">
        <w:rPr>
          <w:sz w:val="18"/>
          <w:szCs w:val="18"/>
        </w:rPr>
        <w:t>provided only</w:t>
      </w:r>
      <w:r w:rsidR="00DA57E2">
        <w:rPr>
          <w:sz w:val="18"/>
          <w:szCs w:val="18"/>
        </w:rPr>
        <w:t xml:space="preserve"> for the parallel</w:t>
      </w:r>
      <w:r w:rsidRPr="00AB00B0">
        <w:rPr>
          <w:sz w:val="18"/>
          <w:szCs w:val="18"/>
        </w:rPr>
        <w:t xml:space="preserve"> controlled trial by Alles et al. (1999).</w:t>
      </w:r>
      <w:r w:rsidR="007839C5">
        <w:rPr>
          <w:sz w:val="18"/>
          <w:szCs w:val="18"/>
        </w:rPr>
        <w:t xml:space="preserve"> This represents stool weight at the end of a run-in diet period, common to all conditions.</w:t>
      </w:r>
    </w:p>
    <w:p w14:paraId="3C0BA14C" w14:textId="1CD8188B" w:rsidR="0036605F" w:rsidRPr="00AB00B0" w:rsidRDefault="0036605F" w:rsidP="0036605F">
      <w:pPr>
        <w:rPr>
          <w:sz w:val="18"/>
          <w:szCs w:val="18"/>
        </w:rPr>
      </w:pPr>
      <w:r w:rsidRPr="00AB00B0">
        <w:rPr>
          <w:sz w:val="18"/>
          <w:szCs w:val="18"/>
          <w:vertAlign w:val="superscript"/>
        </w:rPr>
        <w:t xml:space="preserve">2 </w:t>
      </w:r>
      <w:r w:rsidRPr="00AB00B0">
        <w:rPr>
          <w:sz w:val="18"/>
          <w:szCs w:val="18"/>
        </w:rPr>
        <w:t xml:space="preserve">SD for Ito et al. (1990) and van Dokkum et al. (1999). </w:t>
      </w:r>
      <w:r w:rsidR="0087653D">
        <w:rPr>
          <w:sz w:val="18"/>
          <w:szCs w:val="18"/>
        </w:rPr>
        <w:t>SE</w:t>
      </w:r>
      <w:r w:rsidRPr="00AB00B0">
        <w:rPr>
          <w:sz w:val="18"/>
          <w:szCs w:val="18"/>
        </w:rPr>
        <w:t xml:space="preserve"> for Alles et al. (1999).</w:t>
      </w:r>
    </w:p>
    <w:p w14:paraId="2537C29E" w14:textId="0972098C" w:rsidR="0036605F" w:rsidRPr="00AB00B0" w:rsidRDefault="0036605F" w:rsidP="0036605F">
      <w:pPr>
        <w:rPr>
          <w:sz w:val="18"/>
          <w:szCs w:val="18"/>
        </w:rPr>
      </w:pPr>
      <w:r w:rsidRPr="00AB00B0">
        <w:rPr>
          <w:sz w:val="18"/>
          <w:szCs w:val="18"/>
          <w:vertAlign w:val="superscript"/>
        </w:rPr>
        <w:t xml:space="preserve">3 </w:t>
      </w:r>
      <w:r w:rsidRPr="00AB00B0">
        <w:rPr>
          <w:sz w:val="18"/>
          <w:szCs w:val="18"/>
        </w:rPr>
        <w:t>Represents stool weight at end of the intervention period for the crossover studies (Ito et al. 1990 and van Dokkum et al. 1999) and parallel controlled trial (Alles et al. 1999). van Dokkum et al. (1999) reports stool weight as g/48 hour and we converted the mean and SD to g/day by dividing both by 2.</w:t>
      </w:r>
    </w:p>
    <w:p w14:paraId="6731F15A" w14:textId="06B54A90" w:rsidR="0036605F" w:rsidRPr="00EF6D1B" w:rsidRDefault="0036605F" w:rsidP="0036605F">
      <w:pPr>
        <w:rPr>
          <w:sz w:val="18"/>
          <w:szCs w:val="18"/>
        </w:rPr>
      </w:pPr>
      <w:r w:rsidRPr="00AB00B0">
        <w:rPr>
          <w:sz w:val="18"/>
          <w:szCs w:val="18"/>
          <w:vertAlign w:val="superscript"/>
        </w:rPr>
        <w:t>4</w:t>
      </w:r>
      <w:r w:rsidRPr="00AB00B0">
        <w:rPr>
          <w:sz w:val="18"/>
          <w:szCs w:val="18"/>
        </w:rPr>
        <w:t xml:space="preserve"> Calculated </w:t>
      </w:r>
      <w:r w:rsidR="00E77D9D">
        <w:rPr>
          <w:sz w:val="18"/>
          <w:szCs w:val="18"/>
        </w:rPr>
        <w:t xml:space="preserve">mean </w:t>
      </w:r>
      <w:r w:rsidRPr="00AB00B0">
        <w:rPr>
          <w:sz w:val="18"/>
          <w:szCs w:val="18"/>
        </w:rPr>
        <w:t>difference = mean (intervention</w:t>
      </w:r>
      <w:r w:rsidR="00140A44">
        <w:rPr>
          <w:sz w:val="18"/>
          <w:szCs w:val="18"/>
        </w:rPr>
        <w:t xml:space="preserve"> </w:t>
      </w:r>
      <w:r w:rsidR="00B92662">
        <w:rPr>
          <w:sz w:val="18"/>
          <w:szCs w:val="18"/>
        </w:rPr>
        <w:t>follow-up</w:t>
      </w:r>
      <w:r w:rsidRPr="00AB00B0">
        <w:rPr>
          <w:sz w:val="18"/>
          <w:szCs w:val="18"/>
        </w:rPr>
        <w:t xml:space="preserve">) – mean (placebo </w:t>
      </w:r>
      <w:r w:rsidR="00B92662">
        <w:rPr>
          <w:sz w:val="18"/>
          <w:szCs w:val="18"/>
        </w:rPr>
        <w:t>follow-up</w:t>
      </w:r>
      <w:r w:rsidRPr="00AB00B0">
        <w:rPr>
          <w:sz w:val="18"/>
          <w:szCs w:val="18"/>
        </w:rPr>
        <w:t>) for the crossover studies (Ito et al. 1990 and van Dokkum et al. 1999). For the parallel controlled trial</w:t>
      </w:r>
      <w:r w:rsidR="00304560">
        <w:rPr>
          <w:sz w:val="18"/>
          <w:szCs w:val="18"/>
        </w:rPr>
        <w:t>,</w:t>
      </w:r>
      <w:r w:rsidRPr="00AB00B0">
        <w:rPr>
          <w:sz w:val="18"/>
          <w:szCs w:val="18"/>
        </w:rPr>
        <w:t xml:space="preserve"> the difference provided by Alles et al. (1999) represents group x </w:t>
      </w:r>
      <w:r w:rsidRPr="00EF6D1B">
        <w:rPr>
          <w:sz w:val="18"/>
          <w:szCs w:val="18"/>
        </w:rPr>
        <w:t>time (i.e. adjusted for stool weight</w:t>
      </w:r>
      <w:r w:rsidR="00F1161D" w:rsidRPr="00EF6D1B">
        <w:rPr>
          <w:sz w:val="18"/>
          <w:szCs w:val="18"/>
        </w:rPr>
        <w:t xml:space="preserve"> at the end of a run-in diet period</w:t>
      </w:r>
      <w:r w:rsidRPr="00EF6D1B">
        <w:rPr>
          <w:sz w:val="18"/>
          <w:szCs w:val="18"/>
        </w:rPr>
        <w:t>).</w:t>
      </w:r>
    </w:p>
    <w:p w14:paraId="59022F0C" w14:textId="19924AF4" w:rsidR="00334EED" w:rsidRPr="00EF6D1B" w:rsidRDefault="00334EED" w:rsidP="00334EED">
      <w:pPr>
        <w:rPr>
          <w:sz w:val="18"/>
          <w:szCs w:val="18"/>
        </w:rPr>
      </w:pPr>
      <w:r w:rsidRPr="00EF6D1B">
        <w:rPr>
          <w:sz w:val="18"/>
          <w:szCs w:val="18"/>
          <w:vertAlign w:val="superscript"/>
        </w:rPr>
        <w:t xml:space="preserve">5 </w:t>
      </w:r>
      <w:r w:rsidR="008E20DA" w:rsidRPr="00EF6D1B">
        <w:rPr>
          <w:sz w:val="18"/>
          <w:szCs w:val="18"/>
        </w:rPr>
        <w:t xml:space="preserve">All </w:t>
      </w:r>
      <w:r w:rsidR="0087653D" w:rsidRPr="00EF6D1B">
        <w:rPr>
          <w:sz w:val="18"/>
          <w:szCs w:val="18"/>
        </w:rPr>
        <w:t>SE</w:t>
      </w:r>
      <w:r w:rsidR="008E20DA" w:rsidRPr="00EF6D1B">
        <w:rPr>
          <w:sz w:val="18"/>
          <w:szCs w:val="18"/>
        </w:rPr>
        <w:t>s</w:t>
      </w:r>
      <w:r w:rsidRPr="00EF6D1B">
        <w:rPr>
          <w:sz w:val="18"/>
          <w:szCs w:val="18"/>
        </w:rPr>
        <w:t xml:space="preserve"> </w:t>
      </w:r>
      <w:r w:rsidR="008E20DA" w:rsidRPr="00EF6D1B">
        <w:rPr>
          <w:sz w:val="18"/>
          <w:szCs w:val="18"/>
        </w:rPr>
        <w:t>were</w:t>
      </w:r>
      <w:r w:rsidRPr="00EF6D1B">
        <w:rPr>
          <w:sz w:val="18"/>
          <w:szCs w:val="18"/>
        </w:rPr>
        <w:t xml:space="preserve"> calculated. </w:t>
      </w:r>
      <w:r w:rsidR="0075189F">
        <w:rPr>
          <w:sz w:val="18"/>
          <w:szCs w:val="18"/>
        </w:rPr>
        <w:t>Appendix</w:t>
      </w:r>
      <w:r w:rsidRPr="00EF6D1B">
        <w:rPr>
          <w:sz w:val="18"/>
          <w:szCs w:val="18"/>
        </w:rPr>
        <w:t xml:space="preserve"> Section </w:t>
      </w:r>
      <w:r w:rsidR="00F66CF3" w:rsidRPr="00EF6D1B">
        <w:rPr>
          <w:sz w:val="18"/>
          <w:szCs w:val="18"/>
        </w:rPr>
        <w:t>2.6</w:t>
      </w:r>
      <w:r w:rsidRPr="00EF6D1B">
        <w:rPr>
          <w:sz w:val="18"/>
          <w:szCs w:val="18"/>
        </w:rPr>
        <w:t xml:space="preserve"> outlines the data and formulae used to calculate the </w:t>
      </w:r>
      <w:r w:rsidR="0087653D" w:rsidRPr="00EF6D1B">
        <w:rPr>
          <w:sz w:val="18"/>
          <w:szCs w:val="18"/>
        </w:rPr>
        <w:t>SE</w:t>
      </w:r>
      <w:r w:rsidRPr="00EF6D1B">
        <w:rPr>
          <w:sz w:val="18"/>
          <w:szCs w:val="18"/>
        </w:rPr>
        <w:t xml:space="preserve">. Note that the </w:t>
      </w:r>
      <w:r w:rsidR="0087653D" w:rsidRPr="00EF6D1B">
        <w:rPr>
          <w:sz w:val="18"/>
          <w:szCs w:val="18"/>
        </w:rPr>
        <w:t>SE</w:t>
      </w:r>
      <w:r w:rsidRPr="00EF6D1B">
        <w:rPr>
          <w:sz w:val="18"/>
          <w:szCs w:val="18"/>
        </w:rPr>
        <w:t xml:space="preserve"> for the parallel controlled tri</w:t>
      </w:r>
      <w:r w:rsidR="00400C13" w:rsidRPr="00EF6D1B">
        <w:rPr>
          <w:sz w:val="18"/>
          <w:szCs w:val="18"/>
        </w:rPr>
        <w:t>al was calculated from the 95% confidence interval</w:t>
      </w:r>
      <w:r w:rsidRPr="00EF6D1B">
        <w:rPr>
          <w:sz w:val="18"/>
          <w:szCs w:val="18"/>
        </w:rPr>
        <w:t xml:space="preserve"> of the difference which was provided by Alles et al. (1999): (-21.2, 65.9) for the </w:t>
      </w:r>
      <w:r w:rsidR="008E20DA" w:rsidRPr="00EF6D1B">
        <w:rPr>
          <w:sz w:val="18"/>
          <w:szCs w:val="18"/>
        </w:rPr>
        <w:t xml:space="preserve">placebo versus </w:t>
      </w:r>
      <w:r w:rsidRPr="00EF6D1B">
        <w:rPr>
          <w:sz w:val="18"/>
          <w:szCs w:val="18"/>
        </w:rPr>
        <w:t>8.5 g GOS / day condition; and, (-39.3, 46.3) for the</w:t>
      </w:r>
      <w:r w:rsidR="008E20DA" w:rsidRPr="00EF6D1B">
        <w:rPr>
          <w:sz w:val="18"/>
          <w:szCs w:val="18"/>
        </w:rPr>
        <w:t xml:space="preserve"> placebo versus</w:t>
      </w:r>
      <w:r w:rsidRPr="00EF6D1B">
        <w:rPr>
          <w:sz w:val="18"/>
          <w:szCs w:val="18"/>
        </w:rPr>
        <w:t xml:space="preserve"> 14.4 g GOS / day condition.</w:t>
      </w:r>
    </w:p>
    <w:p w14:paraId="43D3BBF9" w14:textId="6E7E5896" w:rsidR="00334EED" w:rsidRPr="008E20DA" w:rsidRDefault="00334EED" w:rsidP="00334EED">
      <w:pPr>
        <w:rPr>
          <w:sz w:val="18"/>
          <w:szCs w:val="18"/>
        </w:rPr>
      </w:pPr>
      <w:r w:rsidRPr="00EF6D1B">
        <w:rPr>
          <w:sz w:val="18"/>
          <w:szCs w:val="18"/>
          <w:vertAlign w:val="superscript"/>
        </w:rPr>
        <w:t xml:space="preserve">6 </w:t>
      </w:r>
      <w:r w:rsidRPr="00EF6D1B">
        <w:rPr>
          <w:sz w:val="18"/>
          <w:szCs w:val="18"/>
        </w:rPr>
        <w:t>The</w:t>
      </w:r>
      <w:r w:rsidR="008E20DA" w:rsidRPr="00EF6D1B">
        <w:rPr>
          <w:sz w:val="18"/>
          <w:szCs w:val="18"/>
        </w:rPr>
        <w:t xml:space="preserve"> mean</w:t>
      </w:r>
      <w:r w:rsidR="006671D3">
        <w:rPr>
          <w:sz w:val="18"/>
          <w:szCs w:val="18"/>
        </w:rPr>
        <w:t xml:space="preserve"> difference relative to GOS intak</w:t>
      </w:r>
      <w:r w:rsidRPr="00EF6D1B">
        <w:rPr>
          <w:sz w:val="18"/>
          <w:szCs w:val="18"/>
        </w:rPr>
        <w:t xml:space="preserve">e level and its standard error was calculated. </w:t>
      </w:r>
      <w:r w:rsidR="0075189F">
        <w:rPr>
          <w:sz w:val="18"/>
          <w:szCs w:val="18"/>
        </w:rPr>
        <w:t xml:space="preserve">Appendix </w:t>
      </w:r>
      <w:r w:rsidRPr="00EF6D1B">
        <w:rPr>
          <w:sz w:val="18"/>
          <w:szCs w:val="18"/>
        </w:rPr>
        <w:t xml:space="preserve">Section </w:t>
      </w:r>
      <w:r w:rsidR="00F66CF3" w:rsidRPr="00EF6D1B">
        <w:rPr>
          <w:sz w:val="18"/>
          <w:szCs w:val="18"/>
        </w:rPr>
        <w:t>2.6</w:t>
      </w:r>
      <w:r w:rsidRPr="00EF6D1B">
        <w:rPr>
          <w:sz w:val="18"/>
          <w:szCs w:val="18"/>
        </w:rPr>
        <w:t xml:space="preserve"> outlines the data and formulae used.</w:t>
      </w:r>
    </w:p>
    <w:p w14:paraId="7F949945" w14:textId="07F2D308" w:rsidR="0036605F" w:rsidRPr="00AB00B0" w:rsidRDefault="0036605F" w:rsidP="0036605F">
      <w:pPr>
        <w:rPr>
          <w:sz w:val="18"/>
          <w:szCs w:val="18"/>
          <w:vertAlign w:val="superscript"/>
        </w:rPr>
      </w:pPr>
      <w:r w:rsidRPr="008E20DA">
        <w:rPr>
          <w:sz w:val="18"/>
          <w:szCs w:val="18"/>
          <w:vertAlign w:val="superscript"/>
        </w:rPr>
        <w:t>7</w:t>
      </w:r>
      <w:r w:rsidRPr="008E20DA">
        <w:rPr>
          <w:sz w:val="18"/>
          <w:szCs w:val="18"/>
        </w:rPr>
        <w:t xml:space="preserve"> </w:t>
      </w:r>
      <w:r w:rsidRPr="00AB00B0">
        <w:rPr>
          <w:sz w:val="18"/>
          <w:szCs w:val="18"/>
        </w:rPr>
        <w:t>Re</w:t>
      </w:r>
      <w:r w:rsidR="006A09D6">
        <w:rPr>
          <w:sz w:val="18"/>
          <w:szCs w:val="18"/>
        </w:rPr>
        <w:t>flect</w:t>
      </w:r>
      <w:r w:rsidRPr="00AB00B0">
        <w:rPr>
          <w:sz w:val="18"/>
          <w:szCs w:val="18"/>
        </w:rPr>
        <w:t>s</w:t>
      </w:r>
      <w:r w:rsidR="006A09D6">
        <w:rPr>
          <w:sz w:val="18"/>
          <w:szCs w:val="18"/>
        </w:rPr>
        <w:t xml:space="preserve"> </w:t>
      </w:r>
      <w:r w:rsidR="00A13333">
        <w:rPr>
          <w:sz w:val="18"/>
          <w:szCs w:val="18"/>
        </w:rPr>
        <w:t>statistica</w:t>
      </w:r>
      <w:r w:rsidR="00612D5D">
        <w:rPr>
          <w:sz w:val="18"/>
          <w:szCs w:val="18"/>
        </w:rPr>
        <w:t>l (non-)</w:t>
      </w:r>
      <w:r w:rsidR="00A13333">
        <w:rPr>
          <w:sz w:val="18"/>
          <w:szCs w:val="18"/>
        </w:rPr>
        <w:t>significance of</w:t>
      </w:r>
      <w:r w:rsidR="006A09D6">
        <w:rPr>
          <w:sz w:val="18"/>
          <w:szCs w:val="18"/>
        </w:rPr>
        <w:t xml:space="preserve"> </w:t>
      </w:r>
      <w:r w:rsidR="00690ACF">
        <w:rPr>
          <w:sz w:val="18"/>
          <w:szCs w:val="18"/>
        </w:rPr>
        <w:t xml:space="preserve">the </w:t>
      </w:r>
      <w:r w:rsidR="005148A4">
        <w:rPr>
          <w:sz w:val="18"/>
          <w:szCs w:val="18"/>
        </w:rPr>
        <w:t>difference</w:t>
      </w:r>
      <w:r w:rsidR="00F85661" w:rsidRPr="00F85661">
        <w:rPr>
          <w:sz w:val="18"/>
          <w:szCs w:val="18"/>
        </w:rPr>
        <w:t xml:space="preserve"> in stool weight</w:t>
      </w:r>
      <w:r w:rsidR="005148A4">
        <w:rPr>
          <w:sz w:val="18"/>
          <w:szCs w:val="18"/>
        </w:rPr>
        <w:t xml:space="preserve"> between </w:t>
      </w:r>
      <w:r w:rsidR="00AE0B1B">
        <w:rPr>
          <w:sz w:val="18"/>
          <w:szCs w:val="18"/>
        </w:rPr>
        <w:t xml:space="preserve">placebo and </w:t>
      </w:r>
      <w:r w:rsidR="005148A4">
        <w:rPr>
          <w:sz w:val="18"/>
          <w:szCs w:val="18"/>
        </w:rPr>
        <w:t>intervention</w:t>
      </w:r>
      <w:r w:rsidR="00AE0B1B">
        <w:rPr>
          <w:sz w:val="18"/>
          <w:szCs w:val="18"/>
        </w:rPr>
        <w:t xml:space="preserve"> group at</w:t>
      </w:r>
      <w:r w:rsidR="005148A4">
        <w:rPr>
          <w:sz w:val="18"/>
          <w:szCs w:val="18"/>
        </w:rPr>
        <w:t xml:space="preserve"> </w:t>
      </w:r>
      <w:r w:rsidR="00AE0B1B">
        <w:rPr>
          <w:sz w:val="18"/>
          <w:szCs w:val="18"/>
        </w:rPr>
        <w:t>follow-up</w:t>
      </w:r>
      <w:r w:rsidR="005148A4">
        <w:rPr>
          <w:sz w:val="18"/>
          <w:szCs w:val="18"/>
        </w:rPr>
        <w:t xml:space="preserve"> (Ito el al</w:t>
      </w:r>
      <w:r w:rsidR="00F85661">
        <w:rPr>
          <w:sz w:val="18"/>
          <w:szCs w:val="18"/>
        </w:rPr>
        <w:t>.</w:t>
      </w:r>
      <w:r w:rsidR="005148A4">
        <w:rPr>
          <w:sz w:val="18"/>
          <w:szCs w:val="18"/>
        </w:rPr>
        <w:t xml:space="preserve"> 1990 and van Dokkum et al. 1999) or statistical (non-)significance of </w:t>
      </w:r>
      <w:r w:rsidR="00690ACF">
        <w:rPr>
          <w:sz w:val="18"/>
          <w:szCs w:val="18"/>
        </w:rPr>
        <w:t xml:space="preserve">the </w:t>
      </w:r>
      <w:r w:rsidR="006A09D6">
        <w:rPr>
          <w:sz w:val="18"/>
          <w:szCs w:val="18"/>
        </w:rPr>
        <w:t xml:space="preserve">difference between </w:t>
      </w:r>
      <w:r w:rsidR="00AE0B1B">
        <w:rPr>
          <w:sz w:val="18"/>
          <w:szCs w:val="18"/>
        </w:rPr>
        <w:t>placebo and intervention group</w:t>
      </w:r>
      <w:r w:rsidR="00AC51F8">
        <w:rPr>
          <w:sz w:val="18"/>
          <w:szCs w:val="18"/>
        </w:rPr>
        <w:t>,</w:t>
      </w:r>
      <w:r w:rsidR="006A09D6">
        <w:rPr>
          <w:sz w:val="18"/>
          <w:szCs w:val="18"/>
        </w:rPr>
        <w:t xml:space="preserve"> over time (Alles et al. 1999).</w:t>
      </w:r>
      <w:r w:rsidR="00612D5D">
        <w:rPr>
          <w:sz w:val="18"/>
          <w:szCs w:val="18"/>
        </w:rPr>
        <w:t xml:space="preserve"> Exact</w:t>
      </w:r>
      <w:r w:rsidR="006A09D6">
        <w:rPr>
          <w:sz w:val="18"/>
          <w:szCs w:val="18"/>
        </w:rPr>
        <w:t xml:space="preserve"> </w:t>
      </w:r>
      <w:r w:rsidR="00A13333">
        <w:rPr>
          <w:i/>
          <w:sz w:val="18"/>
          <w:szCs w:val="18"/>
        </w:rPr>
        <w:t xml:space="preserve">P </w:t>
      </w:r>
      <w:r w:rsidR="00A13333">
        <w:rPr>
          <w:sz w:val="18"/>
          <w:szCs w:val="18"/>
        </w:rPr>
        <w:t xml:space="preserve">values are not provided </w:t>
      </w:r>
      <w:r w:rsidR="00A13333" w:rsidRPr="00A13333">
        <w:rPr>
          <w:sz w:val="18"/>
          <w:szCs w:val="18"/>
        </w:rPr>
        <w:t>for</w:t>
      </w:r>
      <w:r w:rsidR="00A13333">
        <w:rPr>
          <w:sz w:val="18"/>
          <w:szCs w:val="18"/>
        </w:rPr>
        <w:t xml:space="preserve"> Ito el al. (1990), </w:t>
      </w:r>
      <w:r w:rsidR="00612D5D">
        <w:rPr>
          <w:sz w:val="18"/>
          <w:szCs w:val="18"/>
        </w:rPr>
        <w:t>van Dokkum et al. (1999),</w:t>
      </w:r>
      <w:r w:rsidR="00A13333" w:rsidRPr="00A13333">
        <w:rPr>
          <w:sz w:val="18"/>
          <w:szCs w:val="18"/>
        </w:rPr>
        <w:t xml:space="preserve"> </w:t>
      </w:r>
      <w:r w:rsidR="00A13333">
        <w:rPr>
          <w:sz w:val="18"/>
          <w:szCs w:val="18"/>
        </w:rPr>
        <w:t>and Alles et al. (1999).</w:t>
      </w:r>
    </w:p>
    <w:p w14:paraId="02C8F69D" w14:textId="2EB633A1" w:rsidR="0036605F" w:rsidRPr="00AB00B0" w:rsidRDefault="004E2C59" w:rsidP="0036605F">
      <w:pPr>
        <w:rPr>
          <w:sz w:val="18"/>
          <w:szCs w:val="18"/>
        </w:rPr>
      </w:pPr>
      <w:r w:rsidRPr="004E2C59">
        <w:rPr>
          <w:sz w:val="18"/>
          <w:szCs w:val="18"/>
          <w:vertAlign w:val="superscript"/>
        </w:rPr>
        <w:t>8</w:t>
      </w:r>
      <w:r>
        <w:rPr>
          <w:sz w:val="18"/>
          <w:szCs w:val="18"/>
        </w:rPr>
        <w:t xml:space="preserve"> </w:t>
      </w:r>
      <w:r w:rsidR="0036605F" w:rsidRPr="004E2C59">
        <w:rPr>
          <w:rFonts w:cs="Arial"/>
          <w:sz w:val="18"/>
          <w:szCs w:val="18"/>
        </w:rPr>
        <w:t>Alles</w:t>
      </w:r>
      <w:r w:rsidR="0036605F" w:rsidRPr="00AB00B0">
        <w:rPr>
          <w:rFonts w:cs="Arial"/>
          <w:sz w:val="18"/>
          <w:szCs w:val="18"/>
        </w:rPr>
        <w:t xml:space="preserve"> et al. (1999) state that non-placebo participants were provided a</w:t>
      </w:r>
      <w:r w:rsidR="006671D3">
        <w:rPr>
          <w:rFonts w:cs="Arial"/>
          <w:sz w:val="18"/>
          <w:szCs w:val="18"/>
        </w:rPr>
        <w:t>n</w:t>
      </w:r>
      <w:r w:rsidR="0036605F" w:rsidRPr="00AB00B0">
        <w:rPr>
          <w:rFonts w:cs="Arial"/>
          <w:sz w:val="18"/>
          <w:szCs w:val="18"/>
        </w:rPr>
        <w:t xml:space="preserve"> </w:t>
      </w:r>
      <w:r w:rsidR="006671D3">
        <w:rPr>
          <w:rFonts w:cs="Arial"/>
          <w:sz w:val="18"/>
          <w:szCs w:val="18"/>
        </w:rPr>
        <w:t>intak</w:t>
      </w:r>
      <w:r w:rsidR="0036605F" w:rsidRPr="00AB00B0">
        <w:rPr>
          <w:rFonts w:cs="Arial"/>
          <w:sz w:val="18"/>
          <w:szCs w:val="18"/>
        </w:rPr>
        <w:t xml:space="preserve">e level of </w:t>
      </w:r>
      <w:r w:rsidR="00C92EF1">
        <w:rPr>
          <w:rFonts w:cs="Arial"/>
          <w:sz w:val="18"/>
          <w:szCs w:val="18"/>
        </w:rPr>
        <w:t>GOS</w:t>
      </w:r>
      <w:r w:rsidR="0036605F" w:rsidRPr="00AB00B0">
        <w:rPr>
          <w:rFonts w:cs="Arial"/>
          <w:sz w:val="18"/>
          <w:szCs w:val="18"/>
        </w:rPr>
        <w:t xml:space="preserve"> aimed to be 7.5 g/day or 15.0 g/day. They lat</w:t>
      </w:r>
      <w:r w:rsidR="006671D3">
        <w:rPr>
          <w:rFonts w:cs="Arial"/>
          <w:sz w:val="18"/>
          <w:szCs w:val="18"/>
        </w:rPr>
        <w:t>er state that the low and high intake</w:t>
      </w:r>
      <w:r w:rsidR="0036605F" w:rsidRPr="00AB00B0">
        <w:rPr>
          <w:rFonts w:cs="Arial"/>
          <w:sz w:val="18"/>
          <w:szCs w:val="18"/>
        </w:rPr>
        <w:t xml:space="preserve"> diet provided a mean of 8.5 g/day and 14.4 g/day, respectively.</w:t>
      </w:r>
    </w:p>
    <w:p w14:paraId="795B93E5" w14:textId="01A65963" w:rsidR="00D82D14" w:rsidRDefault="00D82D14" w:rsidP="008F6642">
      <w:pPr>
        <w:rPr>
          <w:rFonts w:cs="Arial"/>
        </w:rPr>
      </w:pPr>
    </w:p>
    <w:p w14:paraId="6A1493C4" w14:textId="77777777" w:rsidR="00595280" w:rsidRDefault="00595280" w:rsidP="00595280">
      <w:pPr>
        <w:rPr>
          <w:rFonts w:cs="Arial"/>
        </w:rPr>
      </w:pPr>
    </w:p>
    <w:p w14:paraId="3C4778B0" w14:textId="74E3D6CB" w:rsidR="00354977" w:rsidRPr="00BE5BC7" w:rsidRDefault="00595280" w:rsidP="008C137B">
      <w:pPr>
        <w:widowControl/>
        <w:rPr>
          <w:strike/>
        </w:rPr>
      </w:pPr>
      <w:r w:rsidRPr="00595280">
        <w:t xml:space="preserve">The control and assessment of dietary intake is relevant to the validity of all three physiological outcomes. </w:t>
      </w:r>
      <w:r w:rsidRPr="00595280">
        <w:rPr>
          <w:rFonts w:cs="Arial"/>
        </w:rPr>
        <w:t xml:space="preserve">Morel et al. (2015) found that appetite and food intake decreased with </w:t>
      </w:r>
      <w:r w:rsidR="00810FF9">
        <w:rPr>
          <w:rFonts w:ascii="Calibri" w:hAnsi="Calibri" w:cs="Calibri"/>
        </w:rPr>
        <w:t>α</w:t>
      </w:r>
      <w:r w:rsidRPr="00595280">
        <w:rPr>
          <w:rFonts w:cs="Arial"/>
        </w:rPr>
        <w:t>-</w:t>
      </w:r>
      <w:r w:rsidR="00C92EF1">
        <w:rPr>
          <w:rFonts w:cs="Arial"/>
        </w:rPr>
        <w:t>GOS</w:t>
      </w:r>
      <w:r w:rsidRPr="00595280">
        <w:rPr>
          <w:rFonts w:cs="Arial"/>
        </w:rPr>
        <w:t xml:space="preserve"> intake. Further, Ito et al. (1990) report that their decision to use 10 g/day as their max</w:t>
      </w:r>
      <w:r w:rsidR="006671D3">
        <w:rPr>
          <w:rFonts w:cs="Arial"/>
        </w:rPr>
        <w:t xml:space="preserve">imum </w:t>
      </w:r>
      <w:r w:rsidR="00C92EF1">
        <w:rPr>
          <w:rFonts w:cs="Arial"/>
        </w:rPr>
        <w:t>GOS</w:t>
      </w:r>
      <w:r w:rsidR="006671D3">
        <w:rPr>
          <w:rFonts w:cs="Arial"/>
        </w:rPr>
        <w:t xml:space="preserve"> intak</w:t>
      </w:r>
      <w:r w:rsidRPr="00595280">
        <w:rPr>
          <w:rFonts w:cs="Arial"/>
        </w:rPr>
        <w:t xml:space="preserve">e was based on preliminary, unpublished trials that found </w:t>
      </w:r>
      <w:r w:rsidR="00801482">
        <w:rPr>
          <w:rFonts w:cs="Arial"/>
        </w:rPr>
        <w:t xml:space="preserve">a single dose of </w:t>
      </w:r>
      <w:r w:rsidRPr="00595280">
        <w:rPr>
          <w:rFonts w:cs="Arial"/>
        </w:rPr>
        <w:t xml:space="preserve">15 g/day led to extreme fullness. With respect to laxation, if food intake decreases, stool weight or frequency may decrease. Of the three studies </w:t>
      </w:r>
      <w:r w:rsidR="006671D3">
        <w:rPr>
          <w:rFonts w:cs="Arial"/>
        </w:rPr>
        <w:t>assessed, two included high intake</w:t>
      </w:r>
      <w:r w:rsidRPr="00595280">
        <w:rPr>
          <w:rFonts w:cs="Arial"/>
        </w:rPr>
        <w:t xml:space="preserve">s (15.0 g/day and 14.4 g/day were used by van Dokkum et al. 1999 and Alles et al. 1999, </w:t>
      </w:r>
      <w:r w:rsidRPr="00F85661">
        <w:rPr>
          <w:rFonts w:cs="Arial"/>
        </w:rPr>
        <w:t xml:space="preserve">respectively). </w:t>
      </w:r>
      <w:r w:rsidR="00021D7B">
        <w:rPr>
          <w:szCs w:val="22"/>
        </w:rPr>
        <w:t>P</w:t>
      </w:r>
      <w:r w:rsidRPr="00F85661">
        <w:rPr>
          <w:szCs w:val="22"/>
        </w:rPr>
        <w:t>articipants’</w:t>
      </w:r>
      <w:r w:rsidRPr="00595280">
        <w:t xml:space="preserve"> diet</w:t>
      </w:r>
      <w:r w:rsidR="008F4018">
        <w:t>s</w:t>
      </w:r>
      <w:r w:rsidRPr="00595280">
        <w:t xml:space="preserve"> w</w:t>
      </w:r>
      <w:r w:rsidR="008D35ED">
        <w:t>ere</w:t>
      </w:r>
      <w:r w:rsidRPr="00595280">
        <w:t xml:space="preserve"> either controlled and reported to be not statistically different between conditions (Alles et al. 1999), controlled and not measured (van Dokkum et al. 1999), or minimally controlled and not measured (Ito et al. 1990). Although van Dokkum et al. (1999) did not assess diet, meals and snacks were provided to control the diet, and body weight, which can be used as a proxy for diet stability, did not change over time.</w:t>
      </w:r>
      <w:r w:rsidR="00F85661">
        <w:rPr>
          <w:rFonts w:cs="Arial"/>
        </w:rPr>
        <w:t xml:space="preserve"> </w:t>
      </w:r>
      <w:r w:rsidR="00F85661" w:rsidRPr="00F85661">
        <w:rPr>
          <w:rFonts w:cs="Arial"/>
        </w:rPr>
        <w:t>There is no evidence to sugges</w:t>
      </w:r>
      <w:r w:rsidR="006671D3">
        <w:rPr>
          <w:rFonts w:cs="Arial"/>
        </w:rPr>
        <w:t>t that high intak</w:t>
      </w:r>
      <w:r w:rsidR="00F85661" w:rsidRPr="00F85661">
        <w:rPr>
          <w:rFonts w:cs="Arial"/>
        </w:rPr>
        <w:t xml:space="preserve">e levels of </w:t>
      </w:r>
      <w:r w:rsidR="00C92EF1">
        <w:rPr>
          <w:rFonts w:cs="Arial"/>
        </w:rPr>
        <w:t>GOS</w:t>
      </w:r>
      <w:r w:rsidR="00F85661" w:rsidRPr="00F85661">
        <w:rPr>
          <w:rFonts w:cs="Arial"/>
        </w:rPr>
        <w:t xml:space="preserve"> </w:t>
      </w:r>
      <w:r w:rsidR="006671D3">
        <w:rPr>
          <w:rFonts w:cs="Arial"/>
        </w:rPr>
        <w:t xml:space="preserve">with the potential effect of </w:t>
      </w:r>
      <w:r w:rsidR="00F85661" w:rsidRPr="00F85661">
        <w:rPr>
          <w:rFonts w:cs="Arial"/>
        </w:rPr>
        <w:t>decreas</w:t>
      </w:r>
      <w:r w:rsidR="006671D3">
        <w:rPr>
          <w:rFonts w:cs="Arial"/>
        </w:rPr>
        <w:t>ing</w:t>
      </w:r>
      <w:r w:rsidR="00F85661" w:rsidRPr="00F85661">
        <w:rPr>
          <w:rFonts w:cs="Arial"/>
        </w:rPr>
        <w:t xml:space="preserve"> food intake</w:t>
      </w:r>
      <w:r w:rsidR="006671D3">
        <w:rPr>
          <w:rFonts w:cs="Arial"/>
        </w:rPr>
        <w:t>,</w:t>
      </w:r>
      <w:r w:rsidR="00F85661" w:rsidRPr="00F85661">
        <w:rPr>
          <w:rFonts w:cs="Arial"/>
        </w:rPr>
        <w:t xml:space="preserve"> has affected the validity of the current studies’ stoo</w:t>
      </w:r>
      <w:r w:rsidR="004164EE">
        <w:rPr>
          <w:rFonts w:cs="Arial"/>
        </w:rPr>
        <w:t>l weight and frequency results.</w:t>
      </w:r>
    </w:p>
    <w:p w14:paraId="68870764" w14:textId="5C12F14C" w:rsidR="00EE4690" w:rsidRDefault="00EE4690" w:rsidP="00F63C90">
      <w:pPr>
        <w:rPr>
          <w:rFonts w:cs="Arial"/>
        </w:rPr>
      </w:pPr>
    </w:p>
    <w:p w14:paraId="7423F595" w14:textId="689D5954" w:rsidR="00F63C90" w:rsidRPr="009F4F79" w:rsidRDefault="00F85661" w:rsidP="009F4F79">
      <w:pPr>
        <w:widowControl/>
        <w:rPr>
          <w:rFonts w:ascii="Times New Roman" w:hAnsi="Times New Roman"/>
          <w:sz w:val="24"/>
          <w:lang w:eastAsia="en-GB" w:bidi="ar-SA"/>
        </w:rPr>
      </w:pPr>
      <w:r w:rsidRPr="009F4F79">
        <w:rPr>
          <w:rFonts w:cs="Arial"/>
        </w:rPr>
        <w:t xml:space="preserve">The differences in </w:t>
      </w:r>
      <w:r w:rsidRPr="00BF1EA9">
        <w:rPr>
          <w:rFonts w:cs="Arial"/>
          <w:szCs w:val="22"/>
        </w:rPr>
        <w:t>relative stool weight between intervention and control groups differ within and between the three studies.</w:t>
      </w:r>
      <w:r w:rsidR="009F4F79" w:rsidRPr="00BF1EA9">
        <w:rPr>
          <w:rFonts w:cs="Arial"/>
          <w:szCs w:val="22"/>
        </w:rPr>
        <w:t xml:space="preserve"> </w:t>
      </w:r>
      <w:r w:rsidR="00BF1EA9" w:rsidRPr="00BF1EA9">
        <w:rPr>
          <w:rFonts w:cs="Arial"/>
          <w:szCs w:val="22"/>
        </w:rPr>
        <w:t>The largest difference was a</w:t>
      </w:r>
      <w:r w:rsidR="0010634E">
        <w:rPr>
          <w:rFonts w:cs="Arial"/>
          <w:szCs w:val="22"/>
        </w:rPr>
        <w:t xml:space="preserve"> lower relative stool weight,</w:t>
      </w:r>
      <w:r w:rsidR="00BF1EA9" w:rsidRPr="00BF1EA9">
        <w:rPr>
          <w:rFonts w:cs="Arial"/>
          <w:szCs w:val="22"/>
        </w:rPr>
        <w:t xml:space="preserve"> </w:t>
      </w:r>
      <w:r w:rsidR="00BF1EA9" w:rsidRPr="00BF1EA9">
        <w:rPr>
          <w:szCs w:val="22"/>
        </w:rPr>
        <w:t>-6.7</w:t>
      </w:r>
      <w:r w:rsidR="0029083D">
        <w:rPr>
          <w:szCs w:val="22"/>
        </w:rPr>
        <w:t xml:space="preserve"> </w:t>
      </w:r>
      <w:r w:rsidR="00BF1EA9" w:rsidRPr="00BF1EA9">
        <w:rPr>
          <w:rFonts w:cs="Arial"/>
          <w:szCs w:val="22"/>
        </w:rPr>
        <w:t>± 5.3 g (</w:t>
      </w:r>
      <w:r w:rsidR="00BF1EA9" w:rsidRPr="00BF1EA9">
        <w:rPr>
          <w:szCs w:val="22"/>
        </w:rPr>
        <w:t xml:space="preserve">mean </w:t>
      </w:r>
      <w:r w:rsidR="00BF1EA9" w:rsidRPr="00BF1EA9">
        <w:rPr>
          <w:rFonts w:cs="Arial"/>
          <w:szCs w:val="22"/>
        </w:rPr>
        <w:t>± SE)</w:t>
      </w:r>
      <w:r w:rsidR="00C62486">
        <w:rPr>
          <w:rFonts w:cs="Arial"/>
          <w:szCs w:val="22"/>
        </w:rPr>
        <w:t xml:space="preserve"> </w:t>
      </w:r>
      <w:r w:rsidR="00C62486">
        <w:rPr>
          <w:rFonts w:cs="Arial"/>
        </w:rPr>
        <w:t xml:space="preserve">indicating </w:t>
      </w:r>
      <w:r w:rsidR="00C92EF1">
        <w:rPr>
          <w:rFonts w:cs="Arial"/>
        </w:rPr>
        <w:t>GOS</w:t>
      </w:r>
      <w:r w:rsidR="00C62486">
        <w:rPr>
          <w:rFonts w:cs="Arial"/>
        </w:rPr>
        <w:t xml:space="preserve"> intake may promote constipation</w:t>
      </w:r>
      <w:r w:rsidR="00BF1EA9" w:rsidRPr="00BF1EA9">
        <w:rPr>
          <w:rFonts w:cs="Arial"/>
          <w:szCs w:val="22"/>
        </w:rPr>
        <w:t xml:space="preserve">. </w:t>
      </w:r>
      <w:r w:rsidRPr="00BF1EA9">
        <w:rPr>
          <w:rFonts w:cs="Arial"/>
          <w:szCs w:val="22"/>
        </w:rPr>
        <w:t>When</w:t>
      </w:r>
      <w:r w:rsidRPr="009F4F79">
        <w:rPr>
          <w:rFonts w:cs="Arial"/>
        </w:rPr>
        <w:t xml:space="preserve"> using a &gt;5 g/g benchmark as a proxy for a laxative effect, the mean differences in relative stool weight indicate a worsened laxation (one from six comparisons), and </w:t>
      </w:r>
      <w:r w:rsidRPr="009F4F79">
        <w:rPr>
          <w:rFonts w:cs="Arial"/>
        </w:rPr>
        <w:lastRenderedPageBreak/>
        <w:t>no effect on laxation (five from six comparisons). When using a &gt;1 g/g benchmark, the mean differences in relative stool weight indicate a promotion of laxation (three from six comparisons), worsened laxation (one</w:t>
      </w:r>
      <w:r>
        <w:rPr>
          <w:rFonts w:cs="Arial"/>
        </w:rPr>
        <w:t xml:space="preserve"> from six comparisons), and no effect (two from six comparisons). </w:t>
      </w:r>
      <w:r w:rsidR="00995194">
        <w:rPr>
          <w:rFonts w:cs="Arial"/>
        </w:rPr>
        <w:t>In one comparison, co</w:t>
      </w:r>
      <w:r w:rsidR="00BA677F">
        <w:rPr>
          <w:rFonts w:cs="Arial"/>
        </w:rPr>
        <w:t xml:space="preserve">nverted data from van Dokkum et al. (1999) found that a 15.0 g/day </w:t>
      </w:r>
      <w:r w:rsidR="006671D3">
        <w:rPr>
          <w:rFonts w:cs="Arial"/>
        </w:rPr>
        <w:t>intake</w:t>
      </w:r>
      <w:r w:rsidR="00BA677F">
        <w:rPr>
          <w:rFonts w:cs="Arial"/>
        </w:rPr>
        <w:t xml:space="preserve"> did meet a benchmark of &gt;1 g/g. Based on the findings of Ito et al. (1990), a benchmark was not met when </w:t>
      </w:r>
      <w:r w:rsidR="00C92EF1">
        <w:rPr>
          <w:rFonts w:cs="Arial"/>
        </w:rPr>
        <w:t>GOS</w:t>
      </w:r>
      <w:r w:rsidR="00BA677F">
        <w:rPr>
          <w:rFonts w:cs="Arial"/>
        </w:rPr>
        <w:t xml:space="preserve"> were provided at a low </w:t>
      </w:r>
      <w:r w:rsidR="004977CE">
        <w:rPr>
          <w:rFonts w:cs="Arial"/>
        </w:rPr>
        <w:t>intake level</w:t>
      </w:r>
      <w:r w:rsidR="00BA677F">
        <w:rPr>
          <w:rFonts w:cs="Arial"/>
        </w:rPr>
        <w:t xml:space="preserve"> (2.5 and 5.0 g/day; in fact, the lowest</w:t>
      </w:r>
      <w:r w:rsidR="003124E5">
        <w:rPr>
          <w:rFonts w:cs="Arial"/>
        </w:rPr>
        <w:t xml:space="preserve"> intake level</w:t>
      </w:r>
      <w:r w:rsidR="00BA677F">
        <w:rPr>
          <w:rFonts w:cs="Arial"/>
        </w:rPr>
        <w:t xml:space="preserve"> </w:t>
      </w:r>
      <w:r w:rsidR="00BD1F98">
        <w:rPr>
          <w:rFonts w:cs="Arial"/>
        </w:rPr>
        <w:t xml:space="preserve">produced an entirely different direction of effect, with a 6.7 g/g lower relative stool weight, indicating </w:t>
      </w:r>
      <w:r w:rsidR="00C92EF1">
        <w:rPr>
          <w:rFonts w:cs="Arial"/>
        </w:rPr>
        <w:t>GOS</w:t>
      </w:r>
      <w:r w:rsidR="00BD1F98">
        <w:rPr>
          <w:rFonts w:cs="Arial"/>
        </w:rPr>
        <w:t xml:space="preserve"> intake may promote constipation) and </w:t>
      </w:r>
      <w:r w:rsidR="003124E5">
        <w:rPr>
          <w:rFonts w:cs="Arial"/>
        </w:rPr>
        <w:t>was met at a moderate intake level</w:t>
      </w:r>
      <w:r w:rsidR="00BA677F">
        <w:rPr>
          <w:rFonts w:cs="Arial"/>
        </w:rPr>
        <w:t xml:space="preserve"> (10.0 g/day). The reverse was true for Alles et al. (1999); results demonstrate the moderate </w:t>
      </w:r>
      <w:r w:rsidR="003124E5">
        <w:rPr>
          <w:rFonts w:cs="Arial"/>
        </w:rPr>
        <w:t>intake</w:t>
      </w:r>
      <w:r w:rsidR="00BA677F">
        <w:rPr>
          <w:rFonts w:cs="Arial"/>
        </w:rPr>
        <w:t xml:space="preserve"> (8.5 g </w:t>
      </w:r>
      <w:r w:rsidR="00C92EF1">
        <w:rPr>
          <w:rFonts w:cs="Arial"/>
        </w:rPr>
        <w:t>GOS</w:t>
      </w:r>
      <w:r w:rsidR="00BA677F">
        <w:rPr>
          <w:rFonts w:cs="Arial"/>
        </w:rPr>
        <w:t>/day</w:t>
      </w:r>
      <w:r w:rsidR="00995194">
        <w:rPr>
          <w:rFonts w:cs="Arial"/>
        </w:rPr>
        <w:t>) met a</w:t>
      </w:r>
      <w:r w:rsidR="00BA677F">
        <w:rPr>
          <w:rFonts w:cs="Arial"/>
        </w:rPr>
        <w:t xml:space="preserve"> benchmark </w:t>
      </w:r>
      <w:r w:rsidR="00995194">
        <w:rPr>
          <w:rFonts w:cs="Arial"/>
        </w:rPr>
        <w:t>of &gt;1 g/g</w:t>
      </w:r>
      <w:r w:rsidR="00830D9D">
        <w:rPr>
          <w:rFonts w:cs="Arial"/>
        </w:rPr>
        <w:t>,</w:t>
      </w:r>
      <w:r w:rsidR="00995194">
        <w:rPr>
          <w:rFonts w:cs="Arial"/>
        </w:rPr>
        <w:t xml:space="preserve"> </w:t>
      </w:r>
      <w:r w:rsidR="003124E5">
        <w:rPr>
          <w:rFonts w:cs="Arial"/>
        </w:rPr>
        <w:t>but the high intak</w:t>
      </w:r>
      <w:r w:rsidR="00BA677F">
        <w:rPr>
          <w:rFonts w:cs="Arial"/>
        </w:rPr>
        <w:t>e (14.4 g/day)</w:t>
      </w:r>
      <w:r w:rsidR="00830D9D">
        <w:rPr>
          <w:rFonts w:cs="Arial"/>
        </w:rPr>
        <w:t xml:space="preserve"> did not</w:t>
      </w:r>
      <w:r w:rsidR="00BA677F">
        <w:rPr>
          <w:rFonts w:cs="Arial"/>
        </w:rPr>
        <w:t>.</w:t>
      </w:r>
      <w:r w:rsidR="009B0E75">
        <w:rPr>
          <w:rFonts w:cs="Arial"/>
        </w:rPr>
        <w:t xml:space="preserve"> </w:t>
      </w:r>
      <w:r w:rsidR="004D1043">
        <w:rPr>
          <w:rFonts w:cs="Arial"/>
        </w:rPr>
        <w:t xml:space="preserve">The two studies that tested more than one </w:t>
      </w:r>
      <w:r w:rsidR="003124E5">
        <w:rPr>
          <w:rFonts w:cs="Arial"/>
        </w:rPr>
        <w:t>intake</w:t>
      </w:r>
      <w:r w:rsidR="004D1043">
        <w:rPr>
          <w:rFonts w:cs="Arial"/>
        </w:rPr>
        <w:t xml:space="preserve"> level (Ito et al. 1990 and Alles et al. 1999) provide no evidence of a causal relationship </w:t>
      </w:r>
      <w:r w:rsidR="00F63C90">
        <w:rPr>
          <w:rFonts w:cs="Arial"/>
        </w:rPr>
        <w:t xml:space="preserve">between </w:t>
      </w:r>
      <w:r w:rsidR="00C92EF1">
        <w:rPr>
          <w:rFonts w:cs="Arial"/>
        </w:rPr>
        <w:t>GOS</w:t>
      </w:r>
      <w:r w:rsidR="00F63C90">
        <w:rPr>
          <w:rFonts w:cs="Arial"/>
        </w:rPr>
        <w:t xml:space="preserve"> intake and increased stool weight</w:t>
      </w:r>
      <w:r w:rsidR="004D1043">
        <w:rPr>
          <w:rFonts w:cs="Arial"/>
        </w:rPr>
        <w:t xml:space="preserve">; the size and direction of effect vary </w:t>
      </w:r>
      <w:r w:rsidR="000359FC">
        <w:rPr>
          <w:rFonts w:cs="Arial"/>
        </w:rPr>
        <w:t>substantiall</w:t>
      </w:r>
      <w:r w:rsidR="003124E5">
        <w:rPr>
          <w:rFonts w:cs="Arial"/>
        </w:rPr>
        <w:t>y at different intak</w:t>
      </w:r>
      <w:r w:rsidR="004D1043">
        <w:rPr>
          <w:rFonts w:cs="Arial"/>
        </w:rPr>
        <w:t>e levels</w:t>
      </w:r>
      <w:r w:rsidR="00F63C90">
        <w:rPr>
          <w:rFonts w:cs="Arial"/>
        </w:rPr>
        <w:t>. Next, wide variances undermine the accuracy of the mean differences and reduce the representativeness of these samples’ results to that of the true population.</w:t>
      </w:r>
      <w:r w:rsidR="00DD750C">
        <w:rPr>
          <w:rFonts w:cs="Arial"/>
        </w:rPr>
        <w:t xml:space="preserve"> The standard errors</w:t>
      </w:r>
      <w:r w:rsidR="00A7464E">
        <w:rPr>
          <w:rFonts w:cs="Arial"/>
        </w:rPr>
        <w:t xml:space="preserve"> for all mean differences </w:t>
      </w:r>
      <w:r w:rsidR="00DD750C">
        <w:rPr>
          <w:rFonts w:cs="Arial"/>
        </w:rPr>
        <w:t>(ranging from 0.</w:t>
      </w:r>
      <w:r w:rsidR="00A40830">
        <w:rPr>
          <w:rFonts w:cs="Arial"/>
        </w:rPr>
        <w:t>7 g to 5.3</w:t>
      </w:r>
      <w:r w:rsidR="00DD750C">
        <w:rPr>
          <w:rFonts w:cs="Arial"/>
        </w:rPr>
        <w:t xml:space="preserve"> g) </w:t>
      </w:r>
      <w:r w:rsidR="00A7464E">
        <w:rPr>
          <w:rFonts w:cs="Arial"/>
        </w:rPr>
        <w:t xml:space="preserve">are much larger than </w:t>
      </w:r>
      <w:r w:rsidR="009A3A69">
        <w:rPr>
          <w:rFonts w:cs="Arial"/>
        </w:rPr>
        <w:t>pectin’s, which this assessment’s low</w:t>
      </w:r>
      <w:r w:rsidR="00A7464E">
        <w:rPr>
          <w:rFonts w:cs="Arial"/>
        </w:rPr>
        <w:t xml:space="preserve"> benchmark</w:t>
      </w:r>
      <w:r w:rsidR="00460914">
        <w:rPr>
          <w:rFonts w:cs="Arial"/>
        </w:rPr>
        <w:t xml:space="preserve"> (&gt;1 g/g)</w:t>
      </w:r>
      <w:r w:rsidR="00A7464E">
        <w:rPr>
          <w:rFonts w:cs="Arial"/>
        </w:rPr>
        <w:t xml:space="preserve"> </w:t>
      </w:r>
      <w:r w:rsidR="009A3A69">
        <w:rPr>
          <w:rFonts w:cs="Arial"/>
        </w:rPr>
        <w:t>is</w:t>
      </w:r>
      <w:r w:rsidR="00A7464E">
        <w:rPr>
          <w:rFonts w:cs="Arial"/>
        </w:rPr>
        <w:t xml:space="preserve"> based on: the standard error of the mean</w:t>
      </w:r>
      <w:r w:rsidR="00DD750C">
        <w:rPr>
          <w:rFonts w:cs="Arial"/>
        </w:rPr>
        <w:t xml:space="preserve"> difference</w:t>
      </w:r>
      <w:r w:rsidR="00A7464E">
        <w:rPr>
          <w:rFonts w:cs="Arial"/>
        </w:rPr>
        <w:t xml:space="preserve"> for pectin is 0.3 g (Cummings 2001).</w:t>
      </w:r>
      <w:r w:rsidR="00F63C90">
        <w:rPr>
          <w:rFonts w:cs="Arial"/>
        </w:rPr>
        <w:t xml:space="preserve"> </w:t>
      </w:r>
      <w:r w:rsidR="00EE4690">
        <w:rPr>
          <w:rFonts w:cs="Arial"/>
        </w:rPr>
        <w:t>A &gt;1 g/g</w:t>
      </w:r>
      <w:r w:rsidR="00F63C90">
        <w:rPr>
          <w:rFonts w:cs="Arial"/>
        </w:rPr>
        <w:t xml:space="preserve"> benchmark is reached </w:t>
      </w:r>
      <w:r w:rsidR="00EE4690">
        <w:rPr>
          <w:rFonts w:cs="Arial"/>
        </w:rPr>
        <w:t xml:space="preserve">in half the comparisons and only </w:t>
      </w:r>
      <w:r w:rsidR="00F63C90">
        <w:rPr>
          <w:rFonts w:cs="Arial"/>
        </w:rPr>
        <w:t>when using the point estimate of the mean difference between the two groups, but n</w:t>
      </w:r>
      <w:r w:rsidR="00EE4690">
        <w:rPr>
          <w:rFonts w:cs="Arial"/>
        </w:rPr>
        <w:t>ever</w:t>
      </w:r>
      <w:r w:rsidR="00F63C90">
        <w:rPr>
          <w:rFonts w:cs="Arial"/>
        </w:rPr>
        <w:t xml:space="preserve"> when the variance is considered. To illustrate,</w:t>
      </w:r>
      <w:r w:rsidR="00F63C90" w:rsidRPr="00CC6DAB">
        <w:rPr>
          <w:rFonts w:cs="Arial"/>
        </w:rPr>
        <w:t xml:space="preserve"> </w:t>
      </w:r>
      <w:r w:rsidR="000A14B4">
        <w:rPr>
          <w:rFonts w:cs="Arial"/>
        </w:rPr>
        <w:t xml:space="preserve">van Dokkum </w:t>
      </w:r>
      <w:r w:rsidR="003124E5">
        <w:rPr>
          <w:rFonts w:cs="Arial"/>
        </w:rPr>
        <w:t>et al. (1999) used the highest intak</w:t>
      </w:r>
      <w:r w:rsidR="000A14B4">
        <w:rPr>
          <w:rFonts w:cs="Arial"/>
        </w:rPr>
        <w:t>e level of the three studies:</w:t>
      </w:r>
      <w:r w:rsidR="00F63C90">
        <w:rPr>
          <w:rFonts w:cs="Arial"/>
        </w:rPr>
        <w:t xml:space="preserve"> 15.0 g </w:t>
      </w:r>
      <w:r w:rsidR="00C92EF1">
        <w:rPr>
          <w:rFonts w:cs="Arial"/>
        </w:rPr>
        <w:t>GOS</w:t>
      </w:r>
      <w:r w:rsidR="000A14B4">
        <w:rPr>
          <w:rFonts w:cs="Arial"/>
        </w:rPr>
        <w:t xml:space="preserve"> per day</w:t>
      </w:r>
      <w:r w:rsidR="003124E5">
        <w:rPr>
          <w:rFonts w:cs="Arial"/>
        </w:rPr>
        <w:t>. At this intak</w:t>
      </w:r>
      <w:r w:rsidR="00F63C90">
        <w:rPr>
          <w:rFonts w:cs="Arial"/>
        </w:rPr>
        <w:t xml:space="preserve">e level, the point estimate of the mean difference between the two groups is 1.3 g/day per gram of </w:t>
      </w:r>
      <w:r w:rsidR="00C92EF1">
        <w:rPr>
          <w:rFonts w:cs="Arial"/>
        </w:rPr>
        <w:t>GOS</w:t>
      </w:r>
      <w:r w:rsidR="00F63C90">
        <w:rPr>
          <w:rFonts w:cs="Arial"/>
        </w:rPr>
        <w:t xml:space="preserve">, </w:t>
      </w:r>
      <w:r w:rsidR="000A14B4">
        <w:rPr>
          <w:rFonts w:cs="Arial"/>
        </w:rPr>
        <w:t>however, the variance (SE is 0.7</w:t>
      </w:r>
      <w:r w:rsidR="00F63C90">
        <w:rPr>
          <w:rFonts w:cs="Arial"/>
        </w:rPr>
        <w:t xml:space="preserve"> g/day per GOS g) demonstrates that the true mean difference could be su</w:t>
      </w:r>
      <w:r w:rsidR="000A14B4">
        <w:rPr>
          <w:rFonts w:cs="Arial"/>
        </w:rPr>
        <w:t>bstantially lower; as low as 0.6</w:t>
      </w:r>
      <w:r w:rsidR="00F63C90">
        <w:rPr>
          <w:rFonts w:cs="Arial"/>
        </w:rPr>
        <w:t xml:space="preserve"> g/day per GOS g</w:t>
      </w:r>
      <w:r w:rsidR="009B0E75">
        <w:rPr>
          <w:rFonts w:cs="Arial"/>
        </w:rPr>
        <w:t>,</w:t>
      </w:r>
      <w:r w:rsidR="00F63C90">
        <w:rPr>
          <w:rFonts w:cs="Arial"/>
        </w:rPr>
        <w:t xml:space="preserve"> which is lower than </w:t>
      </w:r>
      <w:r w:rsidR="009B0E75">
        <w:rPr>
          <w:rFonts w:cs="Arial"/>
        </w:rPr>
        <w:t>a</w:t>
      </w:r>
      <w:r w:rsidR="00F63C90">
        <w:rPr>
          <w:rFonts w:cs="Arial"/>
        </w:rPr>
        <w:t xml:space="preserve"> benchmark</w:t>
      </w:r>
      <w:r w:rsidR="009B0E75">
        <w:rPr>
          <w:rFonts w:cs="Arial"/>
        </w:rPr>
        <w:t xml:space="preserve"> of &gt;1 g/g</w:t>
      </w:r>
      <w:r w:rsidR="00F63C90">
        <w:rPr>
          <w:rFonts w:cs="Arial"/>
        </w:rPr>
        <w:t>. The variances of Ito et al. (1990) and Alles et al. (1999</w:t>
      </w:r>
      <w:r w:rsidR="000A14B4">
        <w:rPr>
          <w:rFonts w:cs="Arial"/>
        </w:rPr>
        <w:t>) are at least twice the size, which</w:t>
      </w:r>
      <w:r w:rsidR="00F63C90">
        <w:rPr>
          <w:rFonts w:cs="Arial"/>
        </w:rPr>
        <w:t xml:space="preserve"> diminishes the precision of the</w:t>
      </w:r>
      <w:r w:rsidR="000A14B4">
        <w:rPr>
          <w:rFonts w:cs="Arial"/>
        </w:rPr>
        <w:t>ir</w:t>
      </w:r>
      <w:r w:rsidR="00F63C90">
        <w:rPr>
          <w:rFonts w:cs="Arial"/>
        </w:rPr>
        <w:t xml:space="preserve"> point estimate</w:t>
      </w:r>
      <w:r w:rsidR="000A14B4">
        <w:rPr>
          <w:rFonts w:cs="Arial"/>
        </w:rPr>
        <w:t>s</w:t>
      </w:r>
      <w:r w:rsidR="00F63C90">
        <w:rPr>
          <w:rFonts w:cs="Arial"/>
        </w:rPr>
        <w:t xml:space="preserve"> to a much larger extent than the aforementioned results of van Dokkum et al. (1999). Fu</w:t>
      </w:r>
      <w:r w:rsidR="004A75BE">
        <w:rPr>
          <w:rFonts w:cs="Arial"/>
        </w:rPr>
        <w:t>ture</w:t>
      </w:r>
      <w:r w:rsidR="00F63C90">
        <w:rPr>
          <w:rFonts w:cs="Arial"/>
        </w:rPr>
        <w:t xml:space="preserve"> research using larger sample sizes should reduce the variance.</w:t>
      </w:r>
    </w:p>
    <w:p w14:paraId="2975E77F" w14:textId="77777777" w:rsidR="000359FC" w:rsidRDefault="000359FC" w:rsidP="00A328EB">
      <w:pPr>
        <w:rPr>
          <w:rFonts w:cs="Arial"/>
        </w:rPr>
      </w:pPr>
    </w:p>
    <w:p w14:paraId="42B781D0" w14:textId="6AC2044D" w:rsidR="00A328EB" w:rsidRDefault="002465A2" w:rsidP="00A328EB">
      <w:pPr>
        <w:rPr>
          <w:rFonts w:cs="Arial"/>
        </w:rPr>
      </w:pPr>
      <w:r w:rsidRPr="00EF6D1B">
        <w:rPr>
          <w:rFonts w:cs="Arial"/>
        </w:rPr>
        <w:t>T</w:t>
      </w:r>
      <w:r w:rsidR="000359FC" w:rsidRPr="00EF6D1B">
        <w:rPr>
          <w:rFonts w:cs="Arial"/>
        </w:rPr>
        <w:t xml:space="preserve">he size and direction of effect of </w:t>
      </w:r>
      <w:r w:rsidR="00C92EF1">
        <w:rPr>
          <w:rFonts w:cs="Arial"/>
        </w:rPr>
        <w:t>GOS</w:t>
      </w:r>
      <w:r w:rsidR="000359FC" w:rsidRPr="00EF6D1B">
        <w:rPr>
          <w:rFonts w:cs="Arial"/>
        </w:rPr>
        <w:t xml:space="preserve"> </w:t>
      </w:r>
      <w:r w:rsidR="001F2C9E" w:rsidRPr="00EF6D1B">
        <w:rPr>
          <w:rFonts w:cs="Arial"/>
        </w:rPr>
        <w:t xml:space="preserve">intake </w:t>
      </w:r>
      <w:r w:rsidR="0015190E">
        <w:rPr>
          <w:rFonts w:cs="Arial"/>
        </w:rPr>
        <w:t>i</w:t>
      </w:r>
      <w:r w:rsidR="000359FC" w:rsidRPr="00EF6D1B">
        <w:rPr>
          <w:rFonts w:cs="Arial"/>
        </w:rPr>
        <w:t>n a</w:t>
      </w:r>
      <w:r w:rsidR="001F2C9E" w:rsidRPr="00EF6D1B">
        <w:rPr>
          <w:rFonts w:cs="Arial"/>
        </w:rPr>
        <w:t>bsolute stool weight also varies</w:t>
      </w:r>
      <w:r w:rsidR="000359FC" w:rsidRPr="00EF6D1B">
        <w:rPr>
          <w:rFonts w:cs="Arial"/>
        </w:rPr>
        <w:t xml:space="preserve"> substantially</w:t>
      </w:r>
      <w:r w:rsidR="003124E5">
        <w:rPr>
          <w:rFonts w:cs="Arial"/>
        </w:rPr>
        <w:t xml:space="preserve"> at different intak</w:t>
      </w:r>
      <w:r w:rsidR="002F37C6" w:rsidRPr="00EF6D1B">
        <w:rPr>
          <w:rFonts w:cs="Arial"/>
        </w:rPr>
        <w:t>e levels</w:t>
      </w:r>
      <w:r w:rsidRPr="00EF6D1B">
        <w:rPr>
          <w:rFonts w:cs="Arial"/>
        </w:rPr>
        <w:t>, as we saw for</w:t>
      </w:r>
      <w:r w:rsidR="001C16EF" w:rsidRPr="00EF6D1B">
        <w:rPr>
          <w:rFonts w:cs="Arial"/>
        </w:rPr>
        <w:t xml:space="preserve"> relative stool weight</w:t>
      </w:r>
      <w:r w:rsidR="000359FC" w:rsidRPr="00EF6D1B">
        <w:rPr>
          <w:rFonts w:cs="Arial"/>
        </w:rPr>
        <w:t xml:space="preserve">. </w:t>
      </w:r>
      <w:r w:rsidR="00F961FB" w:rsidRPr="00EF6D1B">
        <w:rPr>
          <w:rFonts w:cs="Arial"/>
        </w:rPr>
        <w:t>N</w:t>
      </w:r>
      <w:r w:rsidR="00A328EB" w:rsidRPr="00EF6D1B">
        <w:rPr>
          <w:rFonts w:cs="Arial"/>
        </w:rPr>
        <w:t>o statistically significant effects</w:t>
      </w:r>
      <w:r w:rsidR="0015190E">
        <w:rPr>
          <w:rFonts w:cs="Arial"/>
        </w:rPr>
        <w:t xml:space="preserve"> i</w:t>
      </w:r>
      <w:r w:rsidR="001F2C9E" w:rsidRPr="00EF6D1B">
        <w:rPr>
          <w:rFonts w:cs="Arial"/>
        </w:rPr>
        <w:t>n absolute stool weight a</w:t>
      </w:r>
      <w:r w:rsidR="00A328EB" w:rsidRPr="00EF6D1B">
        <w:rPr>
          <w:rFonts w:cs="Arial"/>
        </w:rPr>
        <w:t xml:space="preserve">re reported by </w:t>
      </w:r>
      <w:r w:rsidR="00312BD9">
        <w:rPr>
          <w:rFonts w:cs="Arial"/>
        </w:rPr>
        <w:t xml:space="preserve">all </w:t>
      </w:r>
      <w:r w:rsidR="00A328EB" w:rsidRPr="00EF6D1B">
        <w:rPr>
          <w:rFonts w:cs="Arial"/>
        </w:rPr>
        <w:t>three studies (Ito et al. 1990, van Dokkum et al. 1999, and Alles et al. 1999</w:t>
      </w:r>
      <w:r w:rsidR="00F961FB" w:rsidRPr="00EF6D1B">
        <w:rPr>
          <w:rFonts w:cs="Arial"/>
        </w:rPr>
        <w:t xml:space="preserve">; Table </w:t>
      </w:r>
      <w:r w:rsidR="00A65AE0">
        <w:rPr>
          <w:rFonts w:cs="Arial"/>
        </w:rPr>
        <w:t>2</w:t>
      </w:r>
      <w:r w:rsidR="00A328EB" w:rsidRPr="00EF6D1B">
        <w:rPr>
          <w:rFonts w:cs="Arial"/>
        </w:rPr>
        <w:t xml:space="preserve">). </w:t>
      </w:r>
      <w:r w:rsidR="00AD44E4" w:rsidRPr="006C0A70">
        <w:rPr>
          <w:rFonts w:cs="Arial"/>
          <w:szCs w:val="22"/>
        </w:rPr>
        <w:t>In comparison to 0 g</w:t>
      </w:r>
      <w:r w:rsidR="00B241F6">
        <w:rPr>
          <w:rFonts w:cs="Arial"/>
          <w:szCs w:val="22"/>
        </w:rPr>
        <w:t>,</w:t>
      </w:r>
      <w:r w:rsidR="00AD44E4" w:rsidRPr="006C0A70">
        <w:rPr>
          <w:rFonts w:cs="Arial"/>
          <w:szCs w:val="22"/>
        </w:rPr>
        <w:t xml:space="preserve"> an </w:t>
      </w:r>
      <w:r w:rsidR="00F961FB" w:rsidRPr="006C0A70">
        <w:rPr>
          <w:rFonts w:cs="Arial"/>
          <w:szCs w:val="22"/>
        </w:rPr>
        <w:t>intake</w:t>
      </w:r>
      <w:r w:rsidR="00A328EB" w:rsidRPr="006C0A70">
        <w:rPr>
          <w:rFonts w:cs="Arial"/>
          <w:szCs w:val="22"/>
        </w:rPr>
        <w:t xml:space="preserve"> </w:t>
      </w:r>
      <w:r w:rsidRPr="006C0A70">
        <w:rPr>
          <w:rFonts w:cs="Arial"/>
          <w:szCs w:val="22"/>
        </w:rPr>
        <w:t>between 2.5</w:t>
      </w:r>
      <w:r w:rsidR="001F2C9E" w:rsidRPr="006C0A70">
        <w:rPr>
          <w:rFonts w:cs="Arial"/>
          <w:szCs w:val="22"/>
        </w:rPr>
        <w:t xml:space="preserve"> and</w:t>
      </w:r>
      <w:r w:rsidR="00076E06" w:rsidRPr="006C0A70">
        <w:rPr>
          <w:rFonts w:cs="Arial"/>
          <w:szCs w:val="22"/>
        </w:rPr>
        <w:t xml:space="preserve"> 15.0 g/day </w:t>
      </w:r>
      <w:r w:rsidR="00AD44E4" w:rsidRPr="006C0A70">
        <w:rPr>
          <w:rFonts w:cs="Arial"/>
          <w:szCs w:val="22"/>
        </w:rPr>
        <w:t xml:space="preserve">has an overall mean (95% </w:t>
      </w:r>
      <w:r w:rsidR="00810FF9" w:rsidRPr="006C0A70">
        <w:rPr>
          <w:rFonts w:cs="Arial"/>
          <w:szCs w:val="22"/>
        </w:rPr>
        <w:t>confidence interva</w:t>
      </w:r>
      <w:r w:rsidR="00810FF9" w:rsidRPr="006B1C61">
        <w:rPr>
          <w:rFonts w:cs="Arial"/>
          <w:szCs w:val="22"/>
        </w:rPr>
        <w:t xml:space="preserve">l, </w:t>
      </w:r>
      <w:r w:rsidR="00AD44E4" w:rsidRPr="006B1C61">
        <w:rPr>
          <w:rFonts w:cs="Arial"/>
          <w:szCs w:val="22"/>
        </w:rPr>
        <w:t xml:space="preserve">CI) effect </w:t>
      </w:r>
      <w:r w:rsidR="0015190E">
        <w:rPr>
          <w:rFonts w:cs="Arial"/>
          <w:szCs w:val="22"/>
        </w:rPr>
        <w:t>i</w:t>
      </w:r>
      <w:r w:rsidR="00A328EB" w:rsidRPr="006B1C61">
        <w:rPr>
          <w:rFonts w:cs="Arial"/>
          <w:szCs w:val="22"/>
        </w:rPr>
        <w:t xml:space="preserve">n stool weight of </w:t>
      </w:r>
      <w:r w:rsidR="006C0A70" w:rsidRPr="006B1C61">
        <w:rPr>
          <w:rFonts w:cs="Arial"/>
          <w:szCs w:val="22"/>
        </w:rPr>
        <w:t xml:space="preserve">6.34 g (-6.21, 18.89, </w:t>
      </w:r>
      <w:r w:rsidR="001F2C9E" w:rsidRPr="006B1C61">
        <w:rPr>
          <w:rFonts w:cs="Arial"/>
          <w:i/>
          <w:szCs w:val="22"/>
        </w:rPr>
        <w:t>P</w:t>
      </w:r>
      <w:r w:rsidR="006C0A70" w:rsidRPr="006B1C61">
        <w:rPr>
          <w:rFonts w:cs="Arial"/>
          <w:szCs w:val="22"/>
        </w:rPr>
        <w:t>=0.32</w:t>
      </w:r>
      <w:r w:rsidR="001F2C9E" w:rsidRPr="006B1C61">
        <w:rPr>
          <w:rFonts w:cs="Arial"/>
          <w:szCs w:val="22"/>
        </w:rPr>
        <w:t xml:space="preserve">; </w:t>
      </w:r>
      <w:r w:rsidR="00A328EB" w:rsidRPr="006B1C61">
        <w:rPr>
          <w:rFonts w:cs="Arial"/>
          <w:szCs w:val="22"/>
        </w:rPr>
        <w:t>Figure 1).</w:t>
      </w:r>
      <w:r w:rsidR="001F2C9E" w:rsidRPr="006B1C61">
        <w:rPr>
          <w:rFonts w:cs="Arial"/>
        </w:rPr>
        <w:t xml:space="preserve"> </w:t>
      </w:r>
      <w:r w:rsidR="00F961FB" w:rsidRPr="006B1C61">
        <w:rPr>
          <w:rFonts w:cs="Arial"/>
        </w:rPr>
        <w:t>The confidence interval</w:t>
      </w:r>
      <w:r w:rsidR="006B1C61">
        <w:rPr>
          <w:rFonts w:cs="Arial"/>
        </w:rPr>
        <w:t>s</w:t>
      </w:r>
      <w:r w:rsidR="00F961FB" w:rsidRPr="006B1C61">
        <w:rPr>
          <w:rFonts w:cs="Arial"/>
        </w:rPr>
        <w:t xml:space="preserve"> of</w:t>
      </w:r>
      <w:r w:rsidR="001F2C9E" w:rsidRPr="006B1C61">
        <w:rPr>
          <w:rFonts w:cs="Arial"/>
        </w:rPr>
        <w:t xml:space="preserve"> the weighted pooled estimate and all </w:t>
      </w:r>
      <w:r w:rsidR="001441BB" w:rsidRPr="006B1C61">
        <w:rPr>
          <w:rFonts w:cs="Arial"/>
        </w:rPr>
        <w:t>intervention effect estimates</w:t>
      </w:r>
      <w:r w:rsidR="001F2C9E" w:rsidRPr="006B1C61">
        <w:rPr>
          <w:rFonts w:cs="Arial"/>
        </w:rPr>
        <w:t xml:space="preserve"> </w:t>
      </w:r>
      <w:r w:rsidR="00F961FB" w:rsidRPr="006B1C61">
        <w:rPr>
          <w:rFonts w:cs="Arial"/>
        </w:rPr>
        <w:t xml:space="preserve">cross the line of no effect. </w:t>
      </w:r>
      <w:r w:rsidR="00696A97" w:rsidRPr="006B1C61">
        <w:rPr>
          <w:rFonts w:cs="Arial"/>
        </w:rPr>
        <w:t>Th</w:t>
      </w:r>
      <w:r w:rsidR="00AD44E4" w:rsidRPr="006B1C61">
        <w:rPr>
          <w:rFonts w:cs="Arial"/>
        </w:rPr>
        <w:t xml:space="preserve">ere is </w:t>
      </w:r>
      <w:r w:rsidR="00696A97" w:rsidRPr="006B1C61">
        <w:rPr>
          <w:rFonts w:cs="Arial"/>
        </w:rPr>
        <w:t xml:space="preserve">no evidence of </w:t>
      </w:r>
      <w:r w:rsidR="001F2C9E" w:rsidRPr="006B1C61">
        <w:rPr>
          <w:rFonts w:cs="Arial"/>
        </w:rPr>
        <w:t xml:space="preserve">a </w:t>
      </w:r>
      <w:r w:rsidR="00696A97" w:rsidRPr="006B1C61">
        <w:rPr>
          <w:rFonts w:cs="Arial"/>
        </w:rPr>
        <w:t xml:space="preserve">difference </w:t>
      </w:r>
      <w:r w:rsidR="001F2C9E" w:rsidRPr="006B1C61">
        <w:rPr>
          <w:rFonts w:cs="Arial"/>
        </w:rPr>
        <w:t xml:space="preserve">in stool weight </w:t>
      </w:r>
      <w:r w:rsidR="00696A97" w:rsidRPr="006B1C61">
        <w:rPr>
          <w:rFonts w:cs="Arial"/>
        </w:rPr>
        <w:t>between intervention and control groups.</w:t>
      </w:r>
      <w:r w:rsidR="00A328EB" w:rsidRPr="006B1C61">
        <w:rPr>
          <w:rFonts w:cs="Arial"/>
        </w:rPr>
        <w:t xml:space="preserve"> </w:t>
      </w:r>
      <w:r w:rsidR="00BB4B91" w:rsidRPr="006B1C61">
        <w:rPr>
          <w:rFonts w:cs="Arial"/>
        </w:rPr>
        <w:t xml:space="preserve">Heterogeneity was </w:t>
      </w:r>
      <w:r w:rsidR="006B1C61" w:rsidRPr="006B1C61">
        <w:rPr>
          <w:rFonts w:cs="Arial"/>
        </w:rPr>
        <w:t>very low</w:t>
      </w:r>
      <w:r w:rsidR="00BB4B91" w:rsidRPr="006B1C61">
        <w:rPr>
          <w:rFonts w:cs="Arial"/>
        </w:rPr>
        <w:t xml:space="preserve">, meaning that any variability between interventions’ effects is </w:t>
      </w:r>
      <w:r w:rsidR="006B1C61" w:rsidRPr="006B1C61">
        <w:rPr>
          <w:rFonts w:cs="Arial"/>
        </w:rPr>
        <w:t xml:space="preserve">largely </w:t>
      </w:r>
      <w:r w:rsidR="00BB4B91" w:rsidRPr="006B1C61">
        <w:rPr>
          <w:rFonts w:cs="Arial"/>
        </w:rPr>
        <w:t xml:space="preserve">due to random variation (chance), not clinical or methodological diversity </w:t>
      </w:r>
      <w:r w:rsidR="00076E06" w:rsidRPr="006B1C61">
        <w:rPr>
          <w:rFonts w:cs="Arial"/>
        </w:rPr>
        <w:t>(I</w:t>
      </w:r>
      <w:r w:rsidR="00076E06" w:rsidRPr="006B1C61">
        <w:rPr>
          <w:rFonts w:cs="Arial"/>
          <w:vertAlign w:val="superscript"/>
        </w:rPr>
        <w:t>2</w:t>
      </w:r>
      <w:r w:rsidR="00076E06" w:rsidRPr="006B1C61">
        <w:rPr>
          <w:rFonts w:cs="Arial"/>
        </w:rPr>
        <w:t>=</w:t>
      </w:r>
      <w:r w:rsidR="006B1C61" w:rsidRPr="006B1C61">
        <w:rPr>
          <w:rFonts w:cs="Arial"/>
        </w:rPr>
        <w:t>7</w:t>
      </w:r>
      <w:r w:rsidR="00076E06" w:rsidRPr="006B1C61">
        <w:rPr>
          <w:rFonts w:cs="Arial"/>
        </w:rPr>
        <w:t>%).</w:t>
      </w:r>
    </w:p>
    <w:p w14:paraId="46A7B79A" w14:textId="77777777" w:rsidR="00D768A0" w:rsidRDefault="00D768A0" w:rsidP="00A328EB">
      <w:pPr>
        <w:rPr>
          <w:rFonts w:cs="Arial"/>
        </w:rPr>
      </w:pPr>
    </w:p>
    <w:p w14:paraId="14FBF270" w14:textId="7CB3BCB2" w:rsidR="00A328EB" w:rsidRDefault="009B052E" w:rsidP="00A328EB">
      <w:pPr>
        <w:rPr>
          <w:rFonts w:cs="Arial"/>
        </w:rPr>
      </w:pPr>
      <w:r w:rsidRPr="009B052E">
        <w:rPr>
          <w:rFonts w:cs="Arial"/>
          <w:noProof/>
          <w:lang w:eastAsia="en-GB" w:bidi="ar-SA"/>
        </w:rPr>
        <w:drawing>
          <wp:inline distT="0" distB="0" distL="0" distR="0" wp14:anchorId="165AF3B3" wp14:editId="12B961E3">
            <wp:extent cx="5759450" cy="16230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1623060"/>
                    </a:xfrm>
                    <a:prstGeom prst="rect">
                      <a:avLst/>
                    </a:prstGeom>
                  </pic:spPr>
                </pic:pic>
              </a:graphicData>
            </a:graphic>
          </wp:inline>
        </w:drawing>
      </w:r>
    </w:p>
    <w:p w14:paraId="20907F6B" w14:textId="2ECFA6BA" w:rsidR="00A328EB" w:rsidRPr="00672F05" w:rsidRDefault="00A328EB" w:rsidP="00A328EB">
      <w:pPr>
        <w:rPr>
          <w:rFonts w:cs="Arial"/>
          <w:b/>
          <w:szCs w:val="22"/>
        </w:rPr>
      </w:pPr>
      <w:r w:rsidRPr="009B052E">
        <w:rPr>
          <w:rFonts w:cs="Arial"/>
          <w:b/>
          <w:szCs w:val="22"/>
        </w:rPr>
        <w:t xml:space="preserve">Figure 1: </w:t>
      </w:r>
      <w:r w:rsidR="00AC67C1" w:rsidRPr="009B052E">
        <w:rPr>
          <w:rFonts w:cs="Arial"/>
          <w:b/>
          <w:szCs w:val="22"/>
        </w:rPr>
        <w:t xml:space="preserve">Galacto-oligosaccharide intake has no </w:t>
      </w:r>
      <w:r w:rsidR="00A7464E" w:rsidRPr="009B052E">
        <w:rPr>
          <w:rFonts w:cs="Arial"/>
          <w:b/>
          <w:szCs w:val="22"/>
        </w:rPr>
        <w:t xml:space="preserve">overall </w:t>
      </w:r>
      <w:r w:rsidR="0015190E">
        <w:rPr>
          <w:rFonts w:cs="Arial"/>
          <w:b/>
          <w:szCs w:val="22"/>
        </w:rPr>
        <w:t>effect i</w:t>
      </w:r>
      <w:r w:rsidR="00AC67C1" w:rsidRPr="009B052E">
        <w:rPr>
          <w:rFonts w:cs="Arial"/>
          <w:b/>
          <w:szCs w:val="22"/>
        </w:rPr>
        <w:t>n s</w:t>
      </w:r>
      <w:r w:rsidR="00774320" w:rsidRPr="009B052E">
        <w:rPr>
          <w:rFonts w:cs="Arial"/>
          <w:b/>
          <w:szCs w:val="22"/>
        </w:rPr>
        <w:t>tool weight</w:t>
      </w:r>
      <w:r w:rsidR="00AC67C1" w:rsidRPr="009B052E">
        <w:rPr>
          <w:rFonts w:cs="Arial"/>
          <w:b/>
          <w:szCs w:val="22"/>
        </w:rPr>
        <w:t>.</w:t>
      </w:r>
    </w:p>
    <w:p w14:paraId="2C0BFD5C" w14:textId="77777777" w:rsidR="00D768A0" w:rsidRDefault="00D768A0" w:rsidP="00A328EB">
      <w:pPr>
        <w:rPr>
          <w:rFonts w:cs="Arial"/>
        </w:rPr>
      </w:pPr>
    </w:p>
    <w:p w14:paraId="5C932534" w14:textId="77777777" w:rsidR="00D768A0" w:rsidRDefault="00D768A0" w:rsidP="00A328EB">
      <w:pPr>
        <w:rPr>
          <w:rFonts w:cs="Arial"/>
        </w:rPr>
      </w:pPr>
    </w:p>
    <w:p w14:paraId="31E4CCB6" w14:textId="006EB087" w:rsidR="002D4863" w:rsidRDefault="00B11F63" w:rsidP="00A328EB">
      <w:pPr>
        <w:rPr>
          <w:rFonts w:cs="Arial"/>
        </w:rPr>
      </w:pPr>
      <w:r w:rsidRPr="00B51604">
        <w:rPr>
          <w:rFonts w:cs="Arial"/>
        </w:rPr>
        <w:t xml:space="preserve">On the presumption that any relationship between </w:t>
      </w:r>
      <w:r w:rsidR="00C92EF1">
        <w:rPr>
          <w:rFonts w:cs="Arial"/>
        </w:rPr>
        <w:t>GOS</w:t>
      </w:r>
      <w:r w:rsidRPr="00B51604">
        <w:rPr>
          <w:rFonts w:cs="Arial"/>
        </w:rPr>
        <w:t xml:space="preserve"> intake and </w:t>
      </w:r>
      <w:r>
        <w:rPr>
          <w:rFonts w:cs="Arial"/>
        </w:rPr>
        <w:t>stool weight is</w:t>
      </w:r>
      <w:r w:rsidRPr="00B51604">
        <w:rPr>
          <w:rFonts w:cs="Arial"/>
        </w:rPr>
        <w:t xml:space="preserve"> </w:t>
      </w:r>
      <w:r w:rsidRPr="00B51604">
        <w:rPr>
          <w:rFonts w:cs="Arial"/>
        </w:rPr>
        <w:lastRenderedPageBreak/>
        <w:t xml:space="preserve">dose-dependent, we expect </w:t>
      </w:r>
      <w:r w:rsidR="003124E5">
        <w:rPr>
          <w:rFonts w:cs="Arial"/>
        </w:rPr>
        <w:t>lower and more realistic</w:t>
      </w:r>
      <w:r w:rsidR="00604740">
        <w:rPr>
          <w:rFonts w:cs="Arial"/>
        </w:rPr>
        <w:t xml:space="preserve"> total </w:t>
      </w:r>
      <w:r w:rsidR="00C92EF1">
        <w:rPr>
          <w:rFonts w:cs="Arial"/>
        </w:rPr>
        <w:t>GOS</w:t>
      </w:r>
      <w:r w:rsidR="003124E5">
        <w:rPr>
          <w:rFonts w:cs="Arial"/>
        </w:rPr>
        <w:t xml:space="preserve"> intak</w:t>
      </w:r>
      <w:r>
        <w:rPr>
          <w:rFonts w:cs="Arial"/>
        </w:rPr>
        <w:t>e levels b</w:t>
      </w:r>
      <w:r w:rsidR="00D8744C">
        <w:rPr>
          <w:rFonts w:cs="Arial"/>
        </w:rPr>
        <w:t>etween 0 and</w:t>
      </w:r>
      <w:r>
        <w:rPr>
          <w:rFonts w:cs="Arial"/>
        </w:rPr>
        <w:t xml:space="preserve"> 5</w:t>
      </w:r>
      <w:r w:rsidRPr="00B51604">
        <w:rPr>
          <w:rFonts w:cs="Arial"/>
        </w:rPr>
        <w:t xml:space="preserve"> g/day to produce smaller effect sizes. </w:t>
      </w:r>
      <w:r w:rsidR="00561F0A">
        <w:rPr>
          <w:rFonts w:cs="Arial"/>
        </w:rPr>
        <w:t>A meta-regression</w:t>
      </w:r>
      <w:r w:rsidR="004E3391">
        <w:rPr>
          <w:rFonts w:cs="Arial"/>
        </w:rPr>
        <w:t xml:space="preserve"> or</w:t>
      </w:r>
      <w:r w:rsidR="00273169">
        <w:rPr>
          <w:rFonts w:cs="Arial"/>
        </w:rPr>
        <w:t xml:space="preserve"> sub-group analysis</w:t>
      </w:r>
      <w:r w:rsidR="004E3391">
        <w:rPr>
          <w:rFonts w:cs="Arial"/>
        </w:rPr>
        <w:t xml:space="preserve"> to determine the impact of </w:t>
      </w:r>
      <w:r w:rsidR="00C92EF1">
        <w:rPr>
          <w:rFonts w:cs="Arial"/>
        </w:rPr>
        <w:t>GOS</w:t>
      </w:r>
      <w:r w:rsidR="003124E5">
        <w:rPr>
          <w:rFonts w:cs="Arial"/>
        </w:rPr>
        <w:t xml:space="preserve"> intak</w:t>
      </w:r>
      <w:r w:rsidR="00273169">
        <w:rPr>
          <w:rFonts w:cs="Arial"/>
        </w:rPr>
        <w:t>e level</w:t>
      </w:r>
      <w:r w:rsidR="0015190E">
        <w:rPr>
          <w:rFonts w:cs="Arial"/>
        </w:rPr>
        <w:t xml:space="preserve"> or study quality i</w:t>
      </w:r>
      <w:r w:rsidR="004E3391">
        <w:rPr>
          <w:rFonts w:cs="Arial"/>
        </w:rPr>
        <w:t>n</w:t>
      </w:r>
      <w:r w:rsidR="004E3391" w:rsidRPr="004E3391">
        <w:rPr>
          <w:rFonts w:cs="Arial"/>
        </w:rPr>
        <w:t xml:space="preserve"> </w:t>
      </w:r>
      <w:r w:rsidR="004E3391">
        <w:rPr>
          <w:rFonts w:cs="Arial"/>
        </w:rPr>
        <w:t>stool weight</w:t>
      </w:r>
      <w:r w:rsidR="00273169">
        <w:rPr>
          <w:rFonts w:cs="Arial"/>
        </w:rPr>
        <w:t xml:space="preserve"> was not conducted due to the small number of </w:t>
      </w:r>
      <w:r w:rsidR="002F1D61">
        <w:rPr>
          <w:rFonts w:cs="Arial"/>
        </w:rPr>
        <w:t xml:space="preserve">studies </w:t>
      </w:r>
      <w:r w:rsidR="004977CE">
        <w:rPr>
          <w:rFonts w:cs="Arial"/>
        </w:rPr>
        <w:t>and intake</w:t>
      </w:r>
      <w:r w:rsidR="005F5122">
        <w:rPr>
          <w:rFonts w:cs="Arial"/>
        </w:rPr>
        <w:t xml:space="preserve"> levels</w:t>
      </w:r>
      <w:r w:rsidR="00273169" w:rsidRPr="00273169">
        <w:rPr>
          <w:rFonts w:cs="Arial"/>
        </w:rPr>
        <w:t xml:space="preserve">. </w:t>
      </w:r>
      <w:r w:rsidR="006202AA">
        <w:rPr>
          <w:rFonts w:cs="Arial"/>
        </w:rPr>
        <w:t xml:space="preserve">In lieu of this, we refer to our </w:t>
      </w:r>
      <w:r w:rsidR="00F91BF2">
        <w:rPr>
          <w:rFonts w:cs="Arial"/>
        </w:rPr>
        <w:t>narrative review</w:t>
      </w:r>
      <w:r w:rsidR="006202AA">
        <w:rPr>
          <w:rFonts w:cs="Arial"/>
        </w:rPr>
        <w:t xml:space="preserve">, detailed in </w:t>
      </w:r>
      <w:r w:rsidR="0075189F">
        <w:rPr>
          <w:rFonts w:cs="Arial"/>
        </w:rPr>
        <w:t xml:space="preserve">Appendix </w:t>
      </w:r>
      <w:r w:rsidR="006202AA">
        <w:rPr>
          <w:rFonts w:cs="Arial"/>
        </w:rPr>
        <w:t>Section 2.2.2</w:t>
      </w:r>
      <w:r w:rsidR="004E3391">
        <w:rPr>
          <w:rFonts w:cs="Arial"/>
        </w:rPr>
        <w:t xml:space="preserve">. </w:t>
      </w:r>
      <w:r w:rsidR="006202AA">
        <w:rPr>
          <w:rFonts w:cs="Arial"/>
        </w:rPr>
        <w:t xml:space="preserve">In </w:t>
      </w:r>
      <w:r w:rsidR="006202AA" w:rsidRPr="006202AA">
        <w:rPr>
          <w:rFonts w:cs="Arial"/>
        </w:rPr>
        <w:t xml:space="preserve">summary, our </w:t>
      </w:r>
      <w:r w:rsidR="00A7464E">
        <w:rPr>
          <w:rFonts w:cs="Arial"/>
        </w:rPr>
        <w:t xml:space="preserve">review concludes that </w:t>
      </w:r>
      <w:r w:rsidR="006202AA" w:rsidRPr="006202AA">
        <w:rPr>
          <w:rFonts w:cs="Arial"/>
        </w:rPr>
        <w:t xml:space="preserve">greater weight </w:t>
      </w:r>
      <w:r w:rsidR="00A7464E">
        <w:rPr>
          <w:rFonts w:cs="Arial"/>
        </w:rPr>
        <w:t xml:space="preserve">should be given </w:t>
      </w:r>
      <w:r w:rsidR="006202AA" w:rsidRPr="006202AA">
        <w:rPr>
          <w:rFonts w:cs="Arial"/>
        </w:rPr>
        <w:t>to the data from Alles et al. (1999) as their study design produced a stronger level of evidence. Three conditions were used</w:t>
      </w:r>
      <w:r w:rsidR="003124E5">
        <w:rPr>
          <w:rFonts w:cs="Arial"/>
        </w:rPr>
        <w:t xml:space="preserve"> to test the effect of three intak</w:t>
      </w:r>
      <w:r w:rsidR="00D97DBA">
        <w:rPr>
          <w:rFonts w:cs="Arial"/>
        </w:rPr>
        <w:t xml:space="preserve">e levels of </w:t>
      </w:r>
      <w:r w:rsidR="00C92EF1">
        <w:rPr>
          <w:rFonts w:cs="Arial"/>
        </w:rPr>
        <w:t>GOS</w:t>
      </w:r>
      <w:r w:rsidR="006202AA" w:rsidRPr="006202AA">
        <w:rPr>
          <w:rFonts w:cs="Arial"/>
        </w:rPr>
        <w:t xml:space="preserve"> (0.0, 8.5 and 14.4 g/day) in a parallel, placebo-controlled study. The duration of the intervention period was three weeks, participants’ diet</w:t>
      </w:r>
      <w:r w:rsidR="00911A80">
        <w:rPr>
          <w:rFonts w:cs="Arial"/>
        </w:rPr>
        <w:t>s were</w:t>
      </w:r>
      <w:r w:rsidR="006202AA" w:rsidRPr="006202AA">
        <w:rPr>
          <w:rFonts w:cs="Arial"/>
        </w:rPr>
        <w:t xml:space="preserve"> well controlled, and a three week ‘run-in’ period was incorporated prior to the intervention period. Alles et al. (1999) demonstrated mixed results when assessing stool weight </w:t>
      </w:r>
      <w:r w:rsidR="00D6681C">
        <w:rPr>
          <w:rFonts w:cs="Arial"/>
        </w:rPr>
        <w:t>expressed in absolute and relative terms</w:t>
      </w:r>
      <w:r w:rsidR="006202AA" w:rsidRPr="006202AA">
        <w:rPr>
          <w:rFonts w:cs="Arial"/>
        </w:rPr>
        <w:t>.</w:t>
      </w:r>
      <w:r w:rsidR="00D6681C">
        <w:rPr>
          <w:rFonts w:cs="Arial"/>
        </w:rPr>
        <w:t xml:space="preserve"> </w:t>
      </w:r>
      <w:r w:rsidR="00143BC2">
        <w:rPr>
          <w:rFonts w:cs="Arial"/>
        </w:rPr>
        <w:t>A</w:t>
      </w:r>
      <w:r w:rsidR="00D6681C">
        <w:rPr>
          <w:rFonts w:cs="Arial"/>
        </w:rPr>
        <w:t>s already stated,</w:t>
      </w:r>
      <w:r w:rsidR="00DD750C">
        <w:rPr>
          <w:rFonts w:cs="Arial"/>
        </w:rPr>
        <w:t xml:space="preserve"> </w:t>
      </w:r>
      <w:r w:rsidR="00B93E1A">
        <w:rPr>
          <w:rFonts w:cs="Arial"/>
        </w:rPr>
        <w:t xml:space="preserve">both conditions did not met a benchmark of &gt;5 g/g, and </w:t>
      </w:r>
      <w:r w:rsidR="00DD750C">
        <w:rPr>
          <w:rFonts w:cs="Arial"/>
        </w:rPr>
        <w:t xml:space="preserve">one but not both conditions met a benchmark </w:t>
      </w:r>
      <w:r w:rsidR="00143BC2">
        <w:rPr>
          <w:rFonts w:cs="Arial"/>
        </w:rPr>
        <w:t xml:space="preserve">threshold </w:t>
      </w:r>
      <w:r w:rsidR="00DD750C">
        <w:rPr>
          <w:rFonts w:cs="Arial"/>
        </w:rPr>
        <w:t xml:space="preserve">of &gt;1 g/g </w:t>
      </w:r>
      <w:r w:rsidR="00143BC2">
        <w:rPr>
          <w:rFonts w:cs="Arial"/>
        </w:rPr>
        <w:t xml:space="preserve">and only when </w:t>
      </w:r>
      <w:r w:rsidR="00DD750C">
        <w:rPr>
          <w:rFonts w:cs="Arial"/>
        </w:rPr>
        <w:t>using the point estimate of the mean difference (2.6 g) but not when considering the variance (SE is 2.6 g)</w:t>
      </w:r>
      <w:r w:rsidR="00014177">
        <w:rPr>
          <w:rFonts w:cs="Arial"/>
        </w:rPr>
        <w:t xml:space="preserve"> which </w:t>
      </w:r>
      <w:r w:rsidR="00143BC2">
        <w:rPr>
          <w:rFonts w:cs="Arial"/>
        </w:rPr>
        <w:t>is</w:t>
      </w:r>
      <w:r w:rsidR="00014177">
        <w:rPr>
          <w:rFonts w:cs="Arial"/>
        </w:rPr>
        <w:t xml:space="preserve"> reason to interpret the mean difference with caution</w:t>
      </w:r>
      <w:r w:rsidR="00DD750C">
        <w:rPr>
          <w:rFonts w:cs="Arial"/>
        </w:rPr>
        <w:t xml:space="preserve">. The variance is </w:t>
      </w:r>
      <w:r w:rsidR="00014177">
        <w:rPr>
          <w:rFonts w:cs="Arial"/>
        </w:rPr>
        <w:t xml:space="preserve">large </w:t>
      </w:r>
      <w:r w:rsidR="005D39E2">
        <w:rPr>
          <w:rFonts w:cs="Arial"/>
        </w:rPr>
        <w:t xml:space="preserve">(2.6 g) </w:t>
      </w:r>
      <w:r w:rsidR="00014177">
        <w:rPr>
          <w:rFonts w:cs="Arial"/>
        </w:rPr>
        <w:t xml:space="preserve">with respect to the size of the point estimate </w:t>
      </w:r>
      <w:r w:rsidR="005D39E2">
        <w:rPr>
          <w:rFonts w:cs="Arial"/>
        </w:rPr>
        <w:t xml:space="preserve">(also 2.6 g) </w:t>
      </w:r>
      <w:r w:rsidR="00014177">
        <w:rPr>
          <w:rFonts w:cs="Arial"/>
        </w:rPr>
        <w:t>and in comparison to that of pectin</w:t>
      </w:r>
      <w:r w:rsidR="005D39E2">
        <w:rPr>
          <w:rFonts w:cs="Arial"/>
        </w:rPr>
        <w:t xml:space="preserve"> (0.3 g)</w:t>
      </w:r>
      <w:r w:rsidR="00014177">
        <w:rPr>
          <w:rFonts w:cs="Arial"/>
        </w:rPr>
        <w:t xml:space="preserve">. It is </w:t>
      </w:r>
      <w:r w:rsidR="00DD750C">
        <w:rPr>
          <w:rFonts w:cs="Arial"/>
        </w:rPr>
        <w:t>almost nine-fold larger than that of pectin (SE</w:t>
      </w:r>
      <w:r w:rsidR="006C6631">
        <w:rPr>
          <w:rFonts w:cs="Arial"/>
        </w:rPr>
        <w:t xml:space="preserve"> of 2.6 g versus</w:t>
      </w:r>
      <w:r w:rsidR="00DD750C">
        <w:rPr>
          <w:rFonts w:cs="Arial"/>
        </w:rPr>
        <w:t xml:space="preserve"> 0.3 g; Cummings 200</w:t>
      </w:r>
      <w:r w:rsidR="00DD750C" w:rsidRPr="00B93E1A">
        <w:rPr>
          <w:rFonts w:cs="Arial"/>
        </w:rPr>
        <w:t xml:space="preserve">1), </w:t>
      </w:r>
      <w:r w:rsidR="00B93E1A" w:rsidRPr="00B93E1A">
        <w:rPr>
          <w:rFonts w:cs="Arial"/>
        </w:rPr>
        <w:t>which this assessment’s</w:t>
      </w:r>
      <w:r w:rsidR="00B93E1A">
        <w:rPr>
          <w:rFonts w:cs="Arial"/>
        </w:rPr>
        <w:t xml:space="preserve"> low benchmark (&gt;1 g/g) is based on. </w:t>
      </w:r>
      <w:r w:rsidR="00143BC2">
        <w:rPr>
          <w:rFonts w:cs="Arial"/>
        </w:rPr>
        <w:t xml:space="preserve">Further, </w:t>
      </w:r>
      <w:r w:rsidR="006C6631">
        <w:rPr>
          <w:rFonts w:cs="Arial"/>
        </w:rPr>
        <w:t xml:space="preserve">since the mean differences </w:t>
      </w:r>
      <w:r w:rsidR="0015190E">
        <w:rPr>
          <w:rFonts w:cs="Arial"/>
        </w:rPr>
        <w:t>in</w:t>
      </w:r>
      <w:r w:rsidR="00DA41D8">
        <w:rPr>
          <w:rFonts w:cs="Arial"/>
        </w:rPr>
        <w:t xml:space="preserve"> relative stool weight </w:t>
      </w:r>
      <w:r w:rsidR="005F5122">
        <w:rPr>
          <w:rFonts w:cs="Arial"/>
        </w:rPr>
        <w:t>vary so substantially (2.6 g versus 0.2</w:t>
      </w:r>
      <w:r w:rsidR="006C6631">
        <w:rPr>
          <w:rFonts w:cs="Arial"/>
        </w:rPr>
        <w:t xml:space="preserve"> g; </w:t>
      </w:r>
      <w:r w:rsidR="005F5122">
        <w:rPr>
          <w:rFonts w:cs="Arial"/>
        </w:rPr>
        <w:t xml:space="preserve">more than </w:t>
      </w:r>
      <w:r w:rsidR="006C6631">
        <w:rPr>
          <w:rFonts w:cs="Arial"/>
        </w:rPr>
        <w:t>a ten-fold difference)</w:t>
      </w:r>
      <w:r w:rsidR="002D7122">
        <w:rPr>
          <w:rFonts w:cs="Arial"/>
        </w:rPr>
        <w:t xml:space="preserve"> </w:t>
      </w:r>
      <w:r w:rsidR="003124E5">
        <w:rPr>
          <w:rFonts w:cs="Arial"/>
        </w:rPr>
        <w:t>and decrease with increasing intak</w:t>
      </w:r>
      <w:r w:rsidR="002D7122">
        <w:rPr>
          <w:rFonts w:cs="Arial"/>
        </w:rPr>
        <w:t>e</w:t>
      </w:r>
      <w:r w:rsidR="006C6631">
        <w:rPr>
          <w:rFonts w:cs="Arial"/>
        </w:rPr>
        <w:t xml:space="preserve">, </w:t>
      </w:r>
      <w:r w:rsidR="00143BC2">
        <w:rPr>
          <w:rFonts w:cs="Arial"/>
        </w:rPr>
        <w:t xml:space="preserve">the results of </w:t>
      </w:r>
      <w:r w:rsidR="00D6681C">
        <w:rPr>
          <w:rFonts w:cs="Arial"/>
        </w:rPr>
        <w:t>Alles et al. (1999</w:t>
      </w:r>
      <w:r w:rsidR="00D6681C" w:rsidRPr="00295D40">
        <w:rPr>
          <w:rFonts w:cs="Arial"/>
        </w:rPr>
        <w:t>)</w:t>
      </w:r>
      <w:r w:rsidR="00485F4B">
        <w:rPr>
          <w:rFonts w:cs="Arial"/>
        </w:rPr>
        <w:t xml:space="preserve"> do not support a positive dose-response relationship.</w:t>
      </w:r>
      <w:r w:rsidR="00D6681C" w:rsidRPr="00295D40">
        <w:rPr>
          <w:rFonts w:cs="Arial"/>
        </w:rPr>
        <w:t xml:space="preserve"> </w:t>
      </w:r>
      <w:r w:rsidR="00485F4B">
        <w:rPr>
          <w:rFonts w:cs="Arial"/>
        </w:rPr>
        <w:t xml:space="preserve">This </w:t>
      </w:r>
      <w:r w:rsidR="00485F4B" w:rsidRPr="00295D40">
        <w:rPr>
          <w:rFonts w:cs="Arial"/>
        </w:rPr>
        <w:t>reduces the likelihood of a causal relations</w:t>
      </w:r>
      <w:r w:rsidR="00485F4B">
        <w:rPr>
          <w:rFonts w:cs="Arial"/>
        </w:rPr>
        <w:t xml:space="preserve">hip </w:t>
      </w:r>
      <w:r w:rsidR="00602E01" w:rsidRPr="00295D40">
        <w:rPr>
          <w:rFonts w:cs="Arial"/>
        </w:rPr>
        <w:t>of</w:t>
      </w:r>
      <w:r w:rsidR="00A7464E" w:rsidRPr="00295D40">
        <w:rPr>
          <w:rFonts w:cs="Arial"/>
        </w:rPr>
        <w:t xml:space="preserve"> </w:t>
      </w:r>
      <w:r w:rsidR="00C92EF1">
        <w:rPr>
          <w:rFonts w:cs="Arial"/>
        </w:rPr>
        <w:t>GOS</w:t>
      </w:r>
      <w:r w:rsidR="00A7464E" w:rsidRPr="00295D40">
        <w:rPr>
          <w:rFonts w:cs="Arial"/>
        </w:rPr>
        <w:t xml:space="preserve"> intake </w:t>
      </w:r>
      <w:r w:rsidR="00602E01" w:rsidRPr="00295D40">
        <w:rPr>
          <w:rFonts w:cs="Arial"/>
        </w:rPr>
        <w:t>on</w:t>
      </w:r>
      <w:r w:rsidR="00A7464E" w:rsidRPr="00295D40">
        <w:rPr>
          <w:rFonts w:cs="Arial"/>
        </w:rPr>
        <w:t xml:space="preserve"> stool weight</w:t>
      </w:r>
      <w:r w:rsidR="00014177" w:rsidRPr="00295D40">
        <w:rPr>
          <w:rFonts w:cs="Arial"/>
        </w:rPr>
        <w:t>.</w:t>
      </w:r>
    </w:p>
    <w:p w14:paraId="114C7E95" w14:textId="0F8C802B" w:rsidR="00B81277" w:rsidRDefault="00B81277" w:rsidP="00A328EB">
      <w:pPr>
        <w:rPr>
          <w:rFonts w:cs="Arial"/>
        </w:rPr>
      </w:pPr>
    </w:p>
    <w:p w14:paraId="1FD79B18" w14:textId="11503795" w:rsidR="00DD750C" w:rsidRPr="0021260E" w:rsidRDefault="00406245" w:rsidP="00A328EB">
      <w:pPr>
        <w:rPr>
          <w:rFonts w:cs="Arial"/>
          <w:szCs w:val="22"/>
        </w:rPr>
      </w:pPr>
      <w:r>
        <w:rPr>
          <w:rFonts w:cs="Arial"/>
          <w:szCs w:val="22"/>
        </w:rPr>
        <w:t xml:space="preserve">Additional quantitative </w:t>
      </w:r>
      <w:r w:rsidR="00AD5CAB" w:rsidRPr="00014177">
        <w:rPr>
          <w:rFonts w:cs="Arial"/>
          <w:szCs w:val="22"/>
        </w:rPr>
        <w:t xml:space="preserve">measures of laxation </w:t>
      </w:r>
      <w:r w:rsidR="00AD5CAB">
        <w:rPr>
          <w:rFonts w:cs="Arial"/>
          <w:szCs w:val="22"/>
        </w:rPr>
        <w:t xml:space="preserve">include </w:t>
      </w:r>
      <w:r>
        <w:rPr>
          <w:rFonts w:cs="Arial"/>
          <w:szCs w:val="22"/>
        </w:rPr>
        <w:t xml:space="preserve">self-reported </w:t>
      </w:r>
      <w:r w:rsidR="00AD5CAB">
        <w:rPr>
          <w:rFonts w:cs="Arial"/>
          <w:szCs w:val="22"/>
        </w:rPr>
        <w:t>bowel movement or stool frequency, and intestinal transit time, which we</w:t>
      </w:r>
      <w:r w:rsidR="00AD5CAB" w:rsidRPr="00014177">
        <w:rPr>
          <w:rFonts w:cs="Arial"/>
          <w:szCs w:val="22"/>
        </w:rPr>
        <w:t xml:space="preserve">re </w:t>
      </w:r>
      <w:r w:rsidR="00AD5CAB">
        <w:rPr>
          <w:rFonts w:cs="Arial"/>
          <w:szCs w:val="22"/>
        </w:rPr>
        <w:t>measured in</w:t>
      </w:r>
      <w:r w:rsidR="00AD5CAB" w:rsidRPr="00014177">
        <w:rPr>
          <w:rFonts w:cs="Arial"/>
          <w:szCs w:val="22"/>
        </w:rPr>
        <w:t xml:space="preserve"> </w:t>
      </w:r>
      <w:r w:rsidR="00AD5CAB">
        <w:rPr>
          <w:rFonts w:cs="Arial"/>
          <w:szCs w:val="22"/>
        </w:rPr>
        <w:t>seven</w:t>
      </w:r>
      <w:r w:rsidR="00AD5CAB" w:rsidRPr="00014177">
        <w:rPr>
          <w:rFonts w:cs="Arial"/>
          <w:szCs w:val="22"/>
        </w:rPr>
        <w:t xml:space="preserve"> studies</w:t>
      </w:r>
      <w:r w:rsidR="00AD5CAB">
        <w:rPr>
          <w:rFonts w:cs="Arial"/>
          <w:szCs w:val="22"/>
        </w:rPr>
        <w:t>.</w:t>
      </w:r>
      <w:r w:rsidR="00AD5CAB" w:rsidRPr="00014177">
        <w:rPr>
          <w:rFonts w:cs="Arial"/>
          <w:szCs w:val="22"/>
        </w:rPr>
        <w:t xml:space="preserve"> </w:t>
      </w:r>
      <w:r w:rsidR="00AD5CAB" w:rsidRPr="00014177">
        <w:rPr>
          <w:rFonts w:cs="Arial"/>
        </w:rPr>
        <w:t xml:space="preserve">No effect on self-reported bowel movement or </w:t>
      </w:r>
      <w:r w:rsidR="00AD5CAB">
        <w:rPr>
          <w:rFonts w:cs="Arial"/>
        </w:rPr>
        <w:t xml:space="preserve">stool frequency </w:t>
      </w:r>
      <w:r w:rsidR="003351E1">
        <w:rPr>
          <w:rFonts w:cs="Arial"/>
        </w:rPr>
        <w:t>wa</w:t>
      </w:r>
      <w:r w:rsidR="00AD5CAB" w:rsidRPr="00014177">
        <w:rPr>
          <w:rFonts w:cs="Arial"/>
        </w:rPr>
        <w:t xml:space="preserve">s reported by five of six studies (Ito et al. 1990, Alles et al. 1999, </w:t>
      </w:r>
      <w:r w:rsidR="00AD5CAB" w:rsidRPr="00014177">
        <w:rPr>
          <w:rFonts w:cs="Arial"/>
          <w:szCs w:val="22"/>
        </w:rPr>
        <w:t>Davis et al. 2010, Piirainen et al. 2008, and Whisner et al. 2013</w:t>
      </w:r>
      <w:r w:rsidR="00AD5CAB" w:rsidRPr="00014177">
        <w:rPr>
          <w:rFonts w:cs="Arial"/>
        </w:rPr>
        <w:t xml:space="preserve">). The sixth study’s results suggested defecation frequency was higher during the </w:t>
      </w:r>
      <w:r w:rsidR="00C92EF1">
        <w:rPr>
          <w:rFonts w:cs="Arial"/>
        </w:rPr>
        <w:t>GOS</w:t>
      </w:r>
      <w:r w:rsidR="00AD5CAB" w:rsidRPr="00014177">
        <w:rPr>
          <w:rFonts w:cs="Arial"/>
        </w:rPr>
        <w:t xml:space="preserve"> study period than the control period, however, the relationship was not statistically analysed (</w:t>
      </w:r>
      <w:r w:rsidR="00AD5CAB" w:rsidRPr="00014177">
        <w:rPr>
          <w:rFonts w:cs="Arial"/>
          <w:szCs w:val="22"/>
        </w:rPr>
        <w:t>Teuri &amp; Korpela 1998</w:t>
      </w:r>
      <w:r w:rsidR="00AD5CAB" w:rsidRPr="00014177">
        <w:rPr>
          <w:rFonts w:cs="Arial"/>
        </w:rPr>
        <w:t xml:space="preserve">). No effect on intestinal transit time, using </w:t>
      </w:r>
      <w:r w:rsidR="00AD5CAB" w:rsidRPr="00014177">
        <w:t>radio-opaque pellets swallowed,</w:t>
      </w:r>
      <w:r w:rsidR="00AD5CAB" w:rsidRPr="00014177">
        <w:rPr>
          <w:rFonts w:cs="Arial"/>
        </w:rPr>
        <w:t xml:space="preserve"> was </w:t>
      </w:r>
      <w:r w:rsidR="00AD5CAB" w:rsidRPr="008D35ED">
        <w:rPr>
          <w:rFonts w:cs="Arial"/>
        </w:rPr>
        <w:t xml:space="preserve">reported by one of one study (van Dokkum et al. 1999). </w:t>
      </w:r>
      <w:r w:rsidR="00A15EC0" w:rsidRPr="008D35ED">
        <w:rPr>
          <w:rFonts w:cs="Arial"/>
        </w:rPr>
        <w:t>Not included in the above seven</w:t>
      </w:r>
      <w:r w:rsidR="00D806EF">
        <w:rPr>
          <w:rFonts w:cs="Arial"/>
        </w:rPr>
        <w:t xml:space="preserve"> studies is Canfora et al. (2017</w:t>
      </w:r>
      <w:r w:rsidR="00A15EC0" w:rsidRPr="008D35ED">
        <w:rPr>
          <w:rFonts w:cs="Arial"/>
        </w:rPr>
        <w:t xml:space="preserve">) who reported no change </w:t>
      </w:r>
      <w:r w:rsidR="00037BB5">
        <w:rPr>
          <w:rFonts w:cs="Arial"/>
        </w:rPr>
        <w:t>in</w:t>
      </w:r>
      <w:r w:rsidR="00A15EC0" w:rsidRPr="008D35ED">
        <w:rPr>
          <w:rFonts w:cs="Arial"/>
        </w:rPr>
        <w:t xml:space="preserve"> stool frequency. This, however, appears to be incorporated in their reporting of adverse events rather than an outcome of interest. </w:t>
      </w:r>
      <w:r w:rsidR="00093A66" w:rsidRPr="008D35ED">
        <w:rPr>
          <w:rFonts w:cs="Arial"/>
        </w:rPr>
        <w:t>F</w:t>
      </w:r>
      <w:r w:rsidR="00AD5CAB" w:rsidRPr="008D35ED">
        <w:rPr>
          <w:rFonts w:cs="Arial"/>
        </w:rPr>
        <w:t xml:space="preserve">urther </w:t>
      </w:r>
      <w:r w:rsidR="001540EC">
        <w:rPr>
          <w:rFonts w:cs="Arial"/>
        </w:rPr>
        <w:t>appraisal of the</w:t>
      </w:r>
      <w:r w:rsidR="008850AF">
        <w:rPr>
          <w:rFonts w:cs="Arial"/>
        </w:rPr>
        <w:t>se</w:t>
      </w:r>
      <w:r w:rsidR="001540EC">
        <w:rPr>
          <w:rFonts w:cs="Arial"/>
        </w:rPr>
        <w:t xml:space="preserve"> studies’ methodology and results was not considered</w:t>
      </w:r>
      <w:r w:rsidR="001540EC" w:rsidRPr="008D35ED">
        <w:rPr>
          <w:rFonts w:cs="Arial"/>
        </w:rPr>
        <w:t xml:space="preserve"> </w:t>
      </w:r>
      <w:r w:rsidR="00AD5CAB" w:rsidRPr="008D35ED">
        <w:rPr>
          <w:rFonts w:cs="Arial"/>
        </w:rPr>
        <w:t xml:space="preserve">necessary, as described in </w:t>
      </w:r>
      <w:r w:rsidR="0075189F">
        <w:rPr>
          <w:rFonts w:cs="Arial"/>
        </w:rPr>
        <w:t xml:space="preserve">Appendix </w:t>
      </w:r>
      <w:r w:rsidR="00AD5CAB" w:rsidRPr="008D35ED">
        <w:rPr>
          <w:rFonts w:cs="Arial"/>
        </w:rPr>
        <w:t xml:space="preserve">Section </w:t>
      </w:r>
      <w:r w:rsidR="00612164">
        <w:rPr>
          <w:rFonts w:cs="Arial"/>
        </w:rPr>
        <w:t>2.2.1</w:t>
      </w:r>
      <w:r w:rsidR="00AD5CAB" w:rsidRPr="008D35ED">
        <w:rPr>
          <w:rFonts w:cs="Arial"/>
        </w:rPr>
        <w:t>.</w:t>
      </w:r>
    </w:p>
    <w:p w14:paraId="77761342" w14:textId="36368E74" w:rsidR="0090479B" w:rsidRDefault="0090479B" w:rsidP="008F6642">
      <w:pPr>
        <w:rPr>
          <w:rFonts w:cs="Arial"/>
        </w:rPr>
      </w:pPr>
    </w:p>
    <w:p w14:paraId="46CFC6D0" w14:textId="7B9F3EDC" w:rsidR="00A12675" w:rsidRPr="00A12675" w:rsidRDefault="00A12675" w:rsidP="00A12675">
      <w:pPr>
        <w:rPr>
          <w:rFonts w:cs="Arial"/>
          <w:szCs w:val="22"/>
        </w:rPr>
      </w:pPr>
      <w:r w:rsidRPr="00A12675">
        <w:rPr>
          <w:rFonts w:cs="Arial"/>
          <w:szCs w:val="22"/>
        </w:rPr>
        <w:t>The US Food and Drug Administration reviewed evidence of the effects of isolated and synthetic</w:t>
      </w:r>
      <w:r w:rsidR="000E78CD">
        <w:rPr>
          <w:rFonts w:cs="Arial"/>
          <w:szCs w:val="22"/>
        </w:rPr>
        <w:t>ally produced</w:t>
      </w:r>
      <w:r w:rsidRPr="00A12675">
        <w:rPr>
          <w:rFonts w:cs="Arial"/>
          <w:szCs w:val="22"/>
        </w:rPr>
        <w:t xml:space="preserve"> non-digestible carbohydrate intake (FDA 2016). Their summaries of three studies (Ito et al. 1990, Walton et al. 2012, and Davis et al. 2010) report that </w:t>
      </w:r>
      <w:r w:rsidR="00C92EF1">
        <w:rPr>
          <w:rFonts w:cs="Arial"/>
          <w:szCs w:val="22"/>
        </w:rPr>
        <w:t>GOS</w:t>
      </w:r>
      <w:r w:rsidRPr="00A12675">
        <w:rPr>
          <w:rFonts w:cs="Arial"/>
          <w:szCs w:val="22"/>
        </w:rPr>
        <w:t xml:space="preserve"> intake did not have a laxative effect, as assessed by the number of bowel movements and stool frequency.</w:t>
      </w:r>
      <w:r w:rsidR="00CC7C79">
        <w:rPr>
          <w:rFonts w:cs="Arial"/>
          <w:szCs w:val="22"/>
        </w:rPr>
        <w:t xml:space="preserve"> At the request of the UK Food Standards Agency, the </w:t>
      </w:r>
      <w:r w:rsidR="00CC7C79" w:rsidRPr="00792C2A">
        <w:rPr>
          <w:rFonts w:cs="Arial"/>
          <w:szCs w:val="22"/>
        </w:rPr>
        <w:t xml:space="preserve">Scientific </w:t>
      </w:r>
      <w:r w:rsidR="000B4275">
        <w:rPr>
          <w:rFonts w:cs="Arial"/>
          <w:szCs w:val="22"/>
        </w:rPr>
        <w:t>Advisory Committee on Nutrition</w:t>
      </w:r>
      <w:r w:rsidR="00CC7C79">
        <w:rPr>
          <w:rFonts w:cs="Arial"/>
          <w:szCs w:val="22"/>
        </w:rPr>
        <w:t xml:space="preserve"> evaluate</w:t>
      </w:r>
      <w:r w:rsidR="000B4275">
        <w:rPr>
          <w:rFonts w:cs="Arial"/>
          <w:szCs w:val="22"/>
        </w:rPr>
        <w:t>d</w:t>
      </w:r>
      <w:r w:rsidR="00C03D71">
        <w:rPr>
          <w:rFonts w:cs="Arial"/>
          <w:szCs w:val="22"/>
        </w:rPr>
        <w:t xml:space="preserve"> the effect of</w:t>
      </w:r>
      <w:r w:rsidR="00CC7C79">
        <w:rPr>
          <w:rFonts w:cs="Arial"/>
          <w:szCs w:val="22"/>
        </w:rPr>
        <w:t xml:space="preserve"> </w:t>
      </w:r>
      <w:r w:rsidR="00C03D71">
        <w:rPr>
          <w:rFonts w:cs="Arial"/>
          <w:szCs w:val="22"/>
        </w:rPr>
        <w:t>potential dietary fibre components</w:t>
      </w:r>
      <w:r w:rsidR="00EB0B40">
        <w:rPr>
          <w:rFonts w:cs="Arial"/>
          <w:szCs w:val="22"/>
        </w:rPr>
        <w:t xml:space="preserve"> </w:t>
      </w:r>
      <w:r w:rsidR="00C03D71">
        <w:rPr>
          <w:rFonts w:cs="Arial"/>
          <w:szCs w:val="22"/>
        </w:rPr>
        <w:t xml:space="preserve">on health outcomes (SACN 2008). </w:t>
      </w:r>
      <w:r w:rsidR="00EB0B40">
        <w:rPr>
          <w:rFonts w:cs="Arial"/>
          <w:szCs w:val="22"/>
        </w:rPr>
        <w:t>This incorporated an assessment of the effect of oligosaccharide intake on colonic function, as determined by faecal output. Their review</w:t>
      </w:r>
      <w:r w:rsidR="000B4275">
        <w:rPr>
          <w:rFonts w:cs="Arial"/>
          <w:szCs w:val="22"/>
        </w:rPr>
        <w:t xml:space="preserve"> included one study testing the effect of </w:t>
      </w:r>
      <w:r w:rsidR="00C92EF1">
        <w:rPr>
          <w:rFonts w:cs="Arial"/>
          <w:szCs w:val="22"/>
        </w:rPr>
        <w:t>GOS</w:t>
      </w:r>
      <w:r w:rsidR="000B4275">
        <w:rPr>
          <w:rFonts w:cs="Arial"/>
          <w:szCs w:val="22"/>
        </w:rPr>
        <w:t xml:space="preserve"> (Alles et al. 1999). They concluded that </w:t>
      </w:r>
      <w:r w:rsidR="00C03D71">
        <w:rPr>
          <w:rFonts w:cs="Arial"/>
          <w:szCs w:val="22"/>
        </w:rPr>
        <w:t>oligosaccharide intake</w:t>
      </w:r>
      <w:r w:rsidR="00CC7C79">
        <w:rPr>
          <w:rFonts w:cs="Arial"/>
          <w:szCs w:val="22"/>
        </w:rPr>
        <w:t xml:space="preserve"> </w:t>
      </w:r>
      <w:r w:rsidR="00EB0B40">
        <w:rPr>
          <w:rFonts w:cs="Arial"/>
          <w:szCs w:val="22"/>
        </w:rPr>
        <w:t>had very little</w:t>
      </w:r>
      <w:r w:rsidR="000B4275">
        <w:rPr>
          <w:rFonts w:cs="Arial"/>
          <w:szCs w:val="22"/>
        </w:rPr>
        <w:t xml:space="preserve"> effect </w:t>
      </w:r>
      <w:r w:rsidR="00EB0B40">
        <w:rPr>
          <w:rFonts w:cs="Arial"/>
          <w:szCs w:val="22"/>
        </w:rPr>
        <w:t>on</w:t>
      </w:r>
      <w:r w:rsidR="00CC7C79">
        <w:rPr>
          <w:rFonts w:cs="Arial"/>
          <w:szCs w:val="22"/>
        </w:rPr>
        <w:t xml:space="preserve"> faceal </w:t>
      </w:r>
      <w:r w:rsidR="00EB0B40">
        <w:rPr>
          <w:rFonts w:cs="Arial"/>
          <w:szCs w:val="22"/>
        </w:rPr>
        <w:t>weight, meaning oligosaccharides could not be considered a dietary fibre when using faceal weight as a criterion</w:t>
      </w:r>
      <w:r w:rsidR="000B4275">
        <w:rPr>
          <w:rFonts w:cs="Arial"/>
          <w:szCs w:val="22"/>
        </w:rPr>
        <w:t xml:space="preserve">. </w:t>
      </w:r>
    </w:p>
    <w:p w14:paraId="6603BDE6" w14:textId="77777777" w:rsidR="00A12675" w:rsidRDefault="00A12675" w:rsidP="008F6642">
      <w:pPr>
        <w:rPr>
          <w:rFonts w:cs="Arial"/>
        </w:rPr>
      </w:pPr>
    </w:p>
    <w:p w14:paraId="5085FB56" w14:textId="1A224562" w:rsidR="00431A3A" w:rsidRPr="008D35ED" w:rsidRDefault="00431A3A" w:rsidP="008F6642">
      <w:pPr>
        <w:rPr>
          <w:rFonts w:cs="Arial"/>
        </w:rPr>
      </w:pPr>
      <w:r w:rsidRPr="008D35ED">
        <w:rPr>
          <w:rFonts w:cs="Arial"/>
        </w:rPr>
        <w:t>In summary</w:t>
      </w:r>
      <w:r w:rsidR="007D4917" w:rsidRPr="008D35ED">
        <w:rPr>
          <w:rFonts w:cs="Arial"/>
        </w:rPr>
        <w:t>, the evidence demonstrates</w:t>
      </w:r>
      <w:r w:rsidRPr="008D35ED">
        <w:rPr>
          <w:rFonts w:cs="Arial"/>
        </w:rPr>
        <w:t>:</w:t>
      </w:r>
    </w:p>
    <w:p w14:paraId="30417619" w14:textId="40E2032D" w:rsidR="001B1ACF" w:rsidRPr="008D35ED" w:rsidRDefault="001B1ACF" w:rsidP="000B6ADE">
      <w:pPr>
        <w:pStyle w:val="ListParagraph"/>
        <w:numPr>
          <w:ilvl w:val="0"/>
          <w:numId w:val="15"/>
        </w:numPr>
        <w:rPr>
          <w:lang w:bidi="ar-SA"/>
        </w:rPr>
      </w:pPr>
      <w:r w:rsidRPr="008D35ED">
        <w:rPr>
          <w:lang w:bidi="ar-SA"/>
        </w:rPr>
        <w:t xml:space="preserve">The body of evidence as a whole does not demonstrate that </w:t>
      </w:r>
      <w:r w:rsidR="00C92EF1">
        <w:rPr>
          <w:lang w:bidi="ar-SA"/>
        </w:rPr>
        <w:t>GOS</w:t>
      </w:r>
      <w:r w:rsidRPr="008D35ED">
        <w:rPr>
          <w:lang w:bidi="ar-SA"/>
        </w:rPr>
        <w:t xml:space="preserve"> intake promotes laxation.</w:t>
      </w:r>
      <w:r w:rsidR="008F2D2A">
        <w:rPr>
          <w:lang w:bidi="ar-SA"/>
        </w:rPr>
        <w:t xml:space="preserve"> A</w:t>
      </w:r>
      <w:r w:rsidR="008F2D2A" w:rsidRPr="0010634E">
        <w:rPr>
          <w:lang w:bidi="ar-SA"/>
        </w:rPr>
        <w:t>bsolute and relative stool weight</w:t>
      </w:r>
      <w:r w:rsidR="008F2D2A">
        <w:rPr>
          <w:lang w:bidi="ar-SA"/>
        </w:rPr>
        <w:t xml:space="preserve"> were evaluated using</w:t>
      </w:r>
      <w:r w:rsidR="00EF123D">
        <w:rPr>
          <w:lang w:bidi="ar-SA"/>
        </w:rPr>
        <w:t xml:space="preserve"> three well designed studies with </w:t>
      </w:r>
      <w:r w:rsidR="008F2D2A">
        <w:rPr>
          <w:lang w:bidi="ar-SA"/>
        </w:rPr>
        <w:t>small sample sizes and industry support. A</w:t>
      </w:r>
      <w:r w:rsidR="003124E5">
        <w:rPr>
          <w:rFonts w:cs="Arial"/>
        </w:rPr>
        <w:t xml:space="preserve"> wide range of intak</w:t>
      </w:r>
      <w:r w:rsidR="008F2D2A">
        <w:rPr>
          <w:rFonts w:cs="Arial"/>
        </w:rPr>
        <w:t xml:space="preserve">e levels was evaluated, including very high intakes which provide </w:t>
      </w:r>
      <w:r w:rsidR="008F2D2A">
        <w:rPr>
          <w:rFonts w:cs="Arial"/>
        </w:rPr>
        <w:lastRenderedPageBreak/>
        <w:t>ample opportunity for a causal effect to be seen if one exists.</w:t>
      </w:r>
    </w:p>
    <w:p w14:paraId="57A823F5" w14:textId="48A9F35A" w:rsidR="005D39E2" w:rsidRPr="008D35ED" w:rsidRDefault="0098554C" w:rsidP="000B6ADE">
      <w:pPr>
        <w:pStyle w:val="ListParagraph"/>
        <w:numPr>
          <w:ilvl w:val="0"/>
          <w:numId w:val="15"/>
        </w:numPr>
        <w:rPr>
          <w:rFonts w:cs="Arial"/>
          <w:szCs w:val="22"/>
        </w:rPr>
      </w:pPr>
      <w:r w:rsidRPr="008D35ED">
        <w:rPr>
          <w:rFonts w:cs="Arial"/>
          <w:szCs w:val="22"/>
        </w:rPr>
        <w:t>No overall</w:t>
      </w:r>
      <w:r w:rsidR="00431A3A" w:rsidRPr="008D35ED">
        <w:rPr>
          <w:rFonts w:cs="Arial"/>
          <w:szCs w:val="22"/>
        </w:rPr>
        <w:t xml:space="preserve"> effect of </w:t>
      </w:r>
      <w:r w:rsidR="00C92EF1">
        <w:rPr>
          <w:rFonts w:cs="Arial"/>
          <w:szCs w:val="22"/>
        </w:rPr>
        <w:t>GOS</w:t>
      </w:r>
      <w:r w:rsidR="00431A3A" w:rsidRPr="008D35ED">
        <w:rPr>
          <w:rFonts w:cs="Arial"/>
          <w:szCs w:val="22"/>
        </w:rPr>
        <w:t xml:space="preserve"> intake on absolute stool weight</w:t>
      </w:r>
      <w:r w:rsidR="003A7377" w:rsidRPr="008D35ED">
        <w:rPr>
          <w:rFonts w:cs="Arial"/>
          <w:szCs w:val="22"/>
        </w:rPr>
        <w:t xml:space="preserve"> </w:t>
      </w:r>
      <w:r w:rsidR="005D39E2" w:rsidRPr="008D35ED">
        <w:rPr>
          <w:rFonts w:cs="Arial"/>
          <w:szCs w:val="22"/>
        </w:rPr>
        <w:t>based on individual studies and pooled data</w:t>
      </w:r>
      <w:r w:rsidR="005D39E2" w:rsidRPr="008D35ED">
        <w:rPr>
          <w:lang w:bidi="ar-SA"/>
        </w:rPr>
        <w:t>.</w:t>
      </w:r>
      <w:r w:rsidR="008F2D2A">
        <w:rPr>
          <w:lang w:bidi="ar-SA"/>
        </w:rPr>
        <w:t xml:space="preserve"> </w:t>
      </w:r>
    </w:p>
    <w:p w14:paraId="4CE19A47" w14:textId="271BCC3E" w:rsidR="003A7377" w:rsidRPr="005D39E2" w:rsidRDefault="003A7377" w:rsidP="000B6ADE">
      <w:pPr>
        <w:pStyle w:val="ListParagraph"/>
        <w:numPr>
          <w:ilvl w:val="0"/>
          <w:numId w:val="15"/>
        </w:numPr>
        <w:rPr>
          <w:rFonts w:cs="Arial"/>
          <w:szCs w:val="22"/>
        </w:rPr>
      </w:pPr>
      <w:r w:rsidRPr="008D35ED">
        <w:rPr>
          <w:rFonts w:cs="Arial"/>
          <w:szCs w:val="22"/>
        </w:rPr>
        <w:t xml:space="preserve">No overall effect of </w:t>
      </w:r>
      <w:r w:rsidR="00C92EF1">
        <w:rPr>
          <w:rFonts w:cs="Arial"/>
          <w:szCs w:val="22"/>
        </w:rPr>
        <w:t>GOS</w:t>
      </w:r>
      <w:r w:rsidRPr="005D39E2">
        <w:rPr>
          <w:rFonts w:cs="Arial"/>
          <w:szCs w:val="22"/>
        </w:rPr>
        <w:t xml:space="preserve"> </w:t>
      </w:r>
      <w:r w:rsidR="00656DCA" w:rsidRPr="005D39E2">
        <w:rPr>
          <w:rFonts w:cs="Arial"/>
          <w:szCs w:val="22"/>
        </w:rPr>
        <w:t>intake on relative stool weight.</w:t>
      </w:r>
    </w:p>
    <w:p w14:paraId="41966D37" w14:textId="77777777" w:rsidR="00656DCA" w:rsidRPr="00656DCA" w:rsidRDefault="00656DCA" w:rsidP="000B6ADE">
      <w:pPr>
        <w:pStyle w:val="ListParagraph"/>
        <w:numPr>
          <w:ilvl w:val="1"/>
          <w:numId w:val="15"/>
        </w:numPr>
        <w:rPr>
          <w:rFonts w:cs="Arial"/>
          <w:szCs w:val="22"/>
        </w:rPr>
      </w:pPr>
      <w:r w:rsidRPr="00656DCA">
        <w:rPr>
          <w:rFonts w:cs="Arial"/>
          <w:szCs w:val="22"/>
        </w:rPr>
        <w:t>None of the point estimates of the mean differences from six comparisons of three studies, meet a threshold of &gt;5 g/g.</w:t>
      </w:r>
    </w:p>
    <w:p w14:paraId="174CE4C4" w14:textId="0F5AF87F" w:rsidR="0021260E" w:rsidRPr="00113BEA" w:rsidRDefault="003A7377" w:rsidP="000B6ADE">
      <w:pPr>
        <w:pStyle w:val="ListParagraph"/>
        <w:numPr>
          <w:ilvl w:val="1"/>
          <w:numId w:val="15"/>
        </w:numPr>
        <w:rPr>
          <w:rFonts w:cs="Arial"/>
          <w:szCs w:val="22"/>
        </w:rPr>
      </w:pPr>
      <w:r w:rsidRPr="00656DCA">
        <w:rPr>
          <w:rFonts w:cs="Arial"/>
          <w:szCs w:val="22"/>
        </w:rPr>
        <w:t>Only half the point estimates</w:t>
      </w:r>
      <w:r w:rsidR="007F57D8" w:rsidRPr="00656DCA">
        <w:rPr>
          <w:rFonts w:cs="Arial"/>
          <w:szCs w:val="22"/>
        </w:rPr>
        <w:t>,</w:t>
      </w:r>
      <w:r w:rsidRPr="00656DCA">
        <w:rPr>
          <w:rFonts w:cs="Arial"/>
          <w:szCs w:val="22"/>
        </w:rPr>
        <w:t xml:space="preserve"> </w:t>
      </w:r>
      <w:r w:rsidR="007F57D8" w:rsidRPr="00656DCA">
        <w:rPr>
          <w:rFonts w:cs="Arial"/>
          <w:szCs w:val="22"/>
        </w:rPr>
        <w:t xml:space="preserve">of the mean differences </w:t>
      </w:r>
      <w:r w:rsidR="004E61D9" w:rsidRPr="00656DCA">
        <w:rPr>
          <w:rFonts w:cs="Arial"/>
          <w:szCs w:val="22"/>
        </w:rPr>
        <w:t xml:space="preserve">from </w:t>
      </w:r>
      <w:r w:rsidR="0021260E" w:rsidRPr="00656DCA">
        <w:rPr>
          <w:rFonts w:cs="Arial"/>
          <w:szCs w:val="22"/>
        </w:rPr>
        <w:t xml:space="preserve">six comparisons </w:t>
      </w:r>
      <w:r w:rsidR="007F57D8" w:rsidRPr="00656DCA">
        <w:rPr>
          <w:rFonts w:cs="Arial"/>
          <w:szCs w:val="22"/>
        </w:rPr>
        <w:t>of</w:t>
      </w:r>
      <w:r w:rsidR="0021260E" w:rsidRPr="00656DCA">
        <w:rPr>
          <w:rFonts w:cs="Arial"/>
          <w:szCs w:val="22"/>
        </w:rPr>
        <w:t xml:space="preserve"> </w:t>
      </w:r>
      <w:r w:rsidR="004E61D9" w:rsidRPr="00656DCA">
        <w:rPr>
          <w:rFonts w:cs="Arial"/>
          <w:szCs w:val="22"/>
        </w:rPr>
        <w:t>three studies</w:t>
      </w:r>
      <w:r w:rsidR="007F57D8" w:rsidRPr="00656DCA">
        <w:rPr>
          <w:rFonts w:cs="Arial"/>
          <w:szCs w:val="22"/>
        </w:rPr>
        <w:t>,</w:t>
      </w:r>
      <w:r w:rsidR="004E61D9" w:rsidRPr="00656DCA">
        <w:rPr>
          <w:rFonts w:cs="Arial"/>
          <w:szCs w:val="22"/>
        </w:rPr>
        <w:t xml:space="preserve"> </w:t>
      </w:r>
      <w:r w:rsidR="00656DCA" w:rsidRPr="00656DCA">
        <w:rPr>
          <w:rFonts w:cs="Arial"/>
          <w:szCs w:val="22"/>
        </w:rPr>
        <w:t>meet a</w:t>
      </w:r>
      <w:r w:rsidR="0021260E" w:rsidRPr="00656DCA">
        <w:rPr>
          <w:rFonts w:cs="Arial"/>
          <w:szCs w:val="22"/>
        </w:rPr>
        <w:t xml:space="preserve"> threshold of &gt;1 g/g. </w:t>
      </w:r>
      <w:r w:rsidR="007F57D8" w:rsidRPr="00656DCA">
        <w:rPr>
          <w:rFonts w:cs="Arial"/>
          <w:szCs w:val="22"/>
        </w:rPr>
        <w:t>The relative stool weights from all</w:t>
      </w:r>
      <w:r w:rsidR="0021260E" w:rsidRPr="00656DCA">
        <w:rPr>
          <w:rFonts w:cs="Arial"/>
          <w:szCs w:val="22"/>
        </w:rPr>
        <w:t xml:space="preserve"> </w:t>
      </w:r>
      <w:r w:rsidR="007F57D8" w:rsidRPr="00656DCA">
        <w:rPr>
          <w:rFonts w:cs="Arial"/>
          <w:szCs w:val="22"/>
        </w:rPr>
        <w:t>six</w:t>
      </w:r>
      <w:r w:rsidR="0021260E" w:rsidRPr="00656DCA">
        <w:rPr>
          <w:rFonts w:cs="Arial"/>
          <w:szCs w:val="22"/>
        </w:rPr>
        <w:t xml:space="preserve"> comparisons </w:t>
      </w:r>
      <w:r w:rsidR="007F57D8" w:rsidRPr="00656DCA">
        <w:rPr>
          <w:rFonts w:cs="Arial"/>
          <w:szCs w:val="22"/>
        </w:rPr>
        <w:t xml:space="preserve">do </w:t>
      </w:r>
      <w:r w:rsidR="007F781F">
        <w:rPr>
          <w:rFonts w:cs="Arial"/>
          <w:szCs w:val="22"/>
        </w:rPr>
        <w:t xml:space="preserve">not </w:t>
      </w:r>
      <w:r w:rsidR="0021260E" w:rsidRPr="00656DCA">
        <w:rPr>
          <w:rFonts w:cs="Arial"/>
          <w:szCs w:val="22"/>
        </w:rPr>
        <w:t xml:space="preserve">meet the threshold when considering </w:t>
      </w:r>
      <w:r w:rsidR="007F57D8" w:rsidRPr="00656DCA">
        <w:rPr>
          <w:rFonts w:cs="Arial"/>
          <w:szCs w:val="22"/>
        </w:rPr>
        <w:t xml:space="preserve">their </w:t>
      </w:r>
      <w:r w:rsidR="0021260E" w:rsidRPr="00656DCA">
        <w:rPr>
          <w:rFonts w:cs="Arial"/>
          <w:szCs w:val="22"/>
        </w:rPr>
        <w:t>variance</w:t>
      </w:r>
      <w:r w:rsidR="007F57D8" w:rsidRPr="00656DCA">
        <w:rPr>
          <w:rFonts w:cs="Arial"/>
          <w:szCs w:val="22"/>
        </w:rPr>
        <w:t xml:space="preserve">s, all </w:t>
      </w:r>
      <w:r w:rsidR="007F781F">
        <w:rPr>
          <w:rFonts w:cs="Arial"/>
          <w:szCs w:val="22"/>
        </w:rPr>
        <w:t xml:space="preserve">of which </w:t>
      </w:r>
      <w:r w:rsidR="007F57D8" w:rsidRPr="00656DCA">
        <w:rPr>
          <w:rFonts w:cs="Arial"/>
          <w:szCs w:val="22"/>
        </w:rPr>
        <w:t>include w</w:t>
      </w:r>
      <w:r w:rsidR="005F5122">
        <w:rPr>
          <w:rFonts w:cs="Arial"/>
          <w:szCs w:val="22"/>
        </w:rPr>
        <w:t>eights below this</w:t>
      </w:r>
      <w:r w:rsidR="007F57D8" w:rsidRPr="00113BEA">
        <w:rPr>
          <w:rFonts w:cs="Arial"/>
          <w:szCs w:val="22"/>
        </w:rPr>
        <w:t xml:space="preserve"> threshold</w:t>
      </w:r>
      <w:r w:rsidR="0021260E" w:rsidRPr="00113BEA">
        <w:rPr>
          <w:rFonts w:cs="Arial"/>
          <w:szCs w:val="22"/>
        </w:rPr>
        <w:t>.</w:t>
      </w:r>
    </w:p>
    <w:p w14:paraId="7DE60A65" w14:textId="369E6547" w:rsidR="00113BEA" w:rsidRDefault="00113BEA" w:rsidP="000B6ADE">
      <w:pPr>
        <w:pStyle w:val="ListParagraph"/>
        <w:numPr>
          <w:ilvl w:val="1"/>
          <w:numId w:val="15"/>
        </w:numPr>
        <w:rPr>
          <w:rFonts w:cs="Arial"/>
          <w:szCs w:val="22"/>
        </w:rPr>
      </w:pPr>
      <w:r w:rsidRPr="00113BEA">
        <w:rPr>
          <w:rFonts w:cs="Arial"/>
          <w:szCs w:val="22"/>
        </w:rPr>
        <w:t xml:space="preserve">The mean difference in relative stool weight varies considerably in direction and size across the six comparisons and does not consistently meet a &gt;1 g/g threshold. </w:t>
      </w:r>
      <w:r w:rsidR="000045F3">
        <w:rPr>
          <w:rFonts w:cs="Arial"/>
          <w:szCs w:val="22"/>
        </w:rPr>
        <w:t>This suggests</w:t>
      </w:r>
      <w:r w:rsidRPr="00113BEA">
        <w:rPr>
          <w:rFonts w:cs="Arial"/>
          <w:szCs w:val="22"/>
        </w:rPr>
        <w:t xml:space="preserve"> an absenc</w:t>
      </w:r>
      <w:r w:rsidRPr="0010634E">
        <w:rPr>
          <w:rFonts w:cs="Arial"/>
          <w:szCs w:val="22"/>
        </w:rPr>
        <w:t>e of a positive dose-response relationship.</w:t>
      </w:r>
      <w:r w:rsidR="004525A4">
        <w:rPr>
          <w:rFonts w:cs="Arial"/>
          <w:szCs w:val="22"/>
        </w:rPr>
        <w:t xml:space="preserve"> Further, t</w:t>
      </w:r>
      <w:r w:rsidR="004525A4" w:rsidRPr="00BF1EA9">
        <w:rPr>
          <w:rFonts w:cs="Arial"/>
          <w:szCs w:val="22"/>
        </w:rPr>
        <w:t>he largest difference was a</w:t>
      </w:r>
      <w:r w:rsidR="004525A4">
        <w:rPr>
          <w:rFonts w:cs="Arial"/>
          <w:szCs w:val="22"/>
        </w:rPr>
        <w:t xml:space="preserve"> lower relative stool weight,</w:t>
      </w:r>
      <w:r w:rsidR="004525A4" w:rsidRPr="00BF1EA9">
        <w:rPr>
          <w:rFonts w:cs="Arial"/>
          <w:szCs w:val="22"/>
        </w:rPr>
        <w:t xml:space="preserve"> </w:t>
      </w:r>
      <w:r w:rsidR="004525A4" w:rsidRPr="00BF1EA9">
        <w:rPr>
          <w:szCs w:val="22"/>
        </w:rPr>
        <w:t xml:space="preserve">-6.7 g </w:t>
      </w:r>
      <w:r w:rsidR="004525A4" w:rsidRPr="00BF1EA9">
        <w:rPr>
          <w:rFonts w:cs="Arial"/>
          <w:szCs w:val="22"/>
        </w:rPr>
        <w:t>± 5.3 g (</w:t>
      </w:r>
      <w:r w:rsidR="004525A4" w:rsidRPr="00BF1EA9">
        <w:rPr>
          <w:szCs w:val="22"/>
        </w:rPr>
        <w:t xml:space="preserve">mean </w:t>
      </w:r>
      <w:r w:rsidR="004525A4" w:rsidRPr="00BF1EA9">
        <w:rPr>
          <w:rFonts w:cs="Arial"/>
          <w:szCs w:val="22"/>
        </w:rPr>
        <w:t>± SE).</w:t>
      </w:r>
    </w:p>
    <w:p w14:paraId="75A0379F" w14:textId="00CFCC9F" w:rsidR="007E5615" w:rsidRPr="0010634E" w:rsidRDefault="007E5615" w:rsidP="000B6ADE">
      <w:pPr>
        <w:pStyle w:val="ListParagraph"/>
        <w:numPr>
          <w:ilvl w:val="1"/>
          <w:numId w:val="15"/>
        </w:numPr>
        <w:rPr>
          <w:rFonts w:cs="Arial"/>
          <w:szCs w:val="22"/>
        </w:rPr>
      </w:pPr>
      <w:r w:rsidRPr="00113BEA">
        <w:rPr>
          <w:rFonts w:cs="Arial"/>
          <w:szCs w:val="22"/>
        </w:rPr>
        <w:t>The mean difference</w:t>
      </w:r>
      <w:r w:rsidR="009805F1">
        <w:rPr>
          <w:rFonts w:cs="Arial"/>
          <w:szCs w:val="22"/>
        </w:rPr>
        <w:t>s</w:t>
      </w:r>
      <w:r w:rsidRPr="00113BEA">
        <w:rPr>
          <w:rFonts w:cs="Arial"/>
          <w:szCs w:val="22"/>
        </w:rPr>
        <w:t xml:space="preserve"> in relative stool weight</w:t>
      </w:r>
      <w:r>
        <w:rPr>
          <w:rFonts w:cs="Arial"/>
          <w:szCs w:val="22"/>
        </w:rPr>
        <w:t>, averaged</w:t>
      </w:r>
      <w:r w:rsidR="009805F1">
        <w:rPr>
          <w:rFonts w:cs="Arial"/>
          <w:szCs w:val="22"/>
        </w:rPr>
        <w:t xml:space="preserve"> with equal weighting</w:t>
      </w:r>
      <w:r>
        <w:rPr>
          <w:rFonts w:cs="Arial"/>
          <w:szCs w:val="22"/>
        </w:rPr>
        <w:t xml:space="preserve"> across the six comparisons, is -1.5 g/g</w:t>
      </w:r>
      <w:r w:rsidR="009805F1">
        <w:rPr>
          <w:rFonts w:cs="Arial"/>
          <w:szCs w:val="22"/>
        </w:rPr>
        <w:t>. This</w:t>
      </w:r>
      <w:r>
        <w:rPr>
          <w:rFonts w:cs="Arial"/>
          <w:szCs w:val="22"/>
        </w:rPr>
        <w:t xml:space="preserve"> may indicate </w:t>
      </w:r>
      <w:r w:rsidR="00C92EF1">
        <w:rPr>
          <w:rFonts w:cs="Arial"/>
          <w:szCs w:val="22"/>
        </w:rPr>
        <w:t>GOS</w:t>
      </w:r>
      <w:r>
        <w:rPr>
          <w:rFonts w:cs="Arial"/>
          <w:szCs w:val="22"/>
        </w:rPr>
        <w:t xml:space="preserve"> intake may have a small effect towards constipation.</w:t>
      </w:r>
    </w:p>
    <w:p w14:paraId="296FD157" w14:textId="7BDFE1A5" w:rsidR="007F57D8" w:rsidRPr="000045F3" w:rsidRDefault="007F57D8" w:rsidP="000B6ADE">
      <w:pPr>
        <w:pStyle w:val="ListParagraph"/>
        <w:numPr>
          <w:ilvl w:val="0"/>
          <w:numId w:val="15"/>
        </w:numPr>
        <w:rPr>
          <w:lang w:bidi="ar-SA"/>
        </w:rPr>
      </w:pPr>
      <w:r w:rsidRPr="000045F3">
        <w:rPr>
          <w:rFonts w:cs="Arial"/>
        </w:rPr>
        <w:t xml:space="preserve">Limitations with the use of stool weight and </w:t>
      </w:r>
      <w:r w:rsidR="000045F3" w:rsidRPr="000045F3">
        <w:rPr>
          <w:rFonts w:cs="Arial"/>
        </w:rPr>
        <w:t>a &gt;1 g/g</w:t>
      </w:r>
      <w:r w:rsidRPr="000045F3">
        <w:rPr>
          <w:rFonts w:cs="Arial"/>
        </w:rPr>
        <w:t xml:space="preserve"> </w:t>
      </w:r>
      <w:r w:rsidRPr="0010634E">
        <w:rPr>
          <w:rFonts w:cs="Arial"/>
        </w:rPr>
        <w:t xml:space="preserve">benchmark as intermediary outcomes for ‘healthy’ laxation. Different types of fibre have different </w:t>
      </w:r>
      <w:r w:rsidR="007F781F" w:rsidRPr="0010634E">
        <w:rPr>
          <w:rFonts w:cs="Arial"/>
        </w:rPr>
        <w:t>magnitude</w:t>
      </w:r>
      <w:r w:rsidRPr="0010634E">
        <w:rPr>
          <w:rFonts w:cs="Arial"/>
        </w:rPr>
        <w:t>s of effect on stool weight.</w:t>
      </w:r>
      <w:r w:rsidR="000045F3" w:rsidRPr="0010634E">
        <w:rPr>
          <w:rFonts w:cs="Arial"/>
        </w:rPr>
        <w:t xml:space="preserve"> One</w:t>
      </w:r>
      <w:r w:rsidRPr="0010634E">
        <w:rPr>
          <w:rFonts w:cs="Arial"/>
        </w:rPr>
        <w:t xml:space="preserve"> benchmark that we used, &gt;1 g/g, is lower than that of the least effective source of fibre, pectin, </w:t>
      </w:r>
      <w:r w:rsidR="0010634E" w:rsidRPr="0010634E">
        <w:rPr>
          <w:rFonts w:cs="Arial"/>
        </w:rPr>
        <w:t>which is associated with</w:t>
      </w:r>
      <w:r w:rsidRPr="0010634E">
        <w:rPr>
          <w:rFonts w:cs="Arial"/>
        </w:rPr>
        <w:t xml:space="preserve"> a 1.2</w:t>
      </w:r>
      <w:r w:rsidRPr="000045F3">
        <w:rPr>
          <w:rFonts w:cs="Arial"/>
        </w:rPr>
        <w:t xml:space="preserve"> ± 0.3 g (mean ± SE) increase in stool weight per gram of fibre (Cummings 2001). </w:t>
      </w:r>
      <w:r w:rsidR="007F781F">
        <w:rPr>
          <w:rFonts w:cs="Arial"/>
          <w:szCs w:val="22"/>
        </w:rPr>
        <w:t xml:space="preserve">At best, </w:t>
      </w:r>
      <w:r w:rsidR="000045F3" w:rsidRPr="000045F3">
        <w:rPr>
          <w:rFonts w:cs="Arial"/>
          <w:szCs w:val="22"/>
        </w:rPr>
        <w:t>this</w:t>
      </w:r>
      <w:r w:rsidRPr="000045F3">
        <w:rPr>
          <w:rFonts w:cs="Arial"/>
          <w:szCs w:val="22"/>
        </w:rPr>
        <w:t xml:space="preserve"> </w:t>
      </w:r>
      <w:r w:rsidRPr="000045F3">
        <w:rPr>
          <w:rFonts w:cs="Arial"/>
        </w:rPr>
        <w:t xml:space="preserve">benchmark represents the minimum threshold required to demonstrate a laxative effect. Further, we have not </w:t>
      </w:r>
      <w:r w:rsidR="000045F3" w:rsidRPr="000045F3">
        <w:rPr>
          <w:rFonts w:cs="Arial"/>
        </w:rPr>
        <w:t>assessed</w:t>
      </w:r>
      <w:r w:rsidRPr="000045F3">
        <w:rPr>
          <w:rFonts w:cs="Arial"/>
        </w:rPr>
        <w:t xml:space="preserve"> the evidence </w:t>
      </w:r>
      <w:r w:rsidR="000045F3" w:rsidRPr="000045F3">
        <w:rPr>
          <w:rFonts w:cs="Arial"/>
        </w:rPr>
        <w:t xml:space="preserve">to determine the nature of the </w:t>
      </w:r>
      <w:r w:rsidRPr="000045F3">
        <w:rPr>
          <w:rFonts w:cs="Arial"/>
        </w:rPr>
        <w:t xml:space="preserve">relationship </w:t>
      </w:r>
      <w:r w:rsidR="000045F3" w:rsidRPr="000045F3">
        <w:rPr>
          <w:rFonts w:cs="Arial"/>
        </w:rPr>
        <w:t>between fibre</w:t>
      </w:r>
      <w:r w:rsidR="000045F3">
        <w:rPr>
          <w:rFonts w:cs="Arial"/>
        </w:rPr>
        <w:t xml:space="preserve"> and st</w:t>
      </w:r>
      <w:r w:rsidR="003124E5">
        <w:rPr>
          <w:rFonts w:cs="Arial"/>
        </w:rPr>
        <w:t>ool weight across a range of intak</w:t>
      </w:r>
      <w:r w:rsidR="000045F3">
        <w:rPr>
          <w:rFonts w:cs="Arial"/>
        </w:rPr>
        <w:t>e levels</w:t>
      </w:r>
      <w:r w:rsidRPr="000045F3">
        <w:rPr>
          <w:rFonts w:cs="Arial"/>
        </w:rPr>
        <w:t>.</w:t>
      </w:r>
      <w:r w:rsidR="000045F3">
        <w:rPr>
          <w:rFonts w:cs="Arial"/>
        </w:rPr>
        <w:t xml:space="preserve"> This could improve the threshold and units of a benchmark for relative stool weight.</w:t>
      </w:r>
      <w:r w:rsidRPr="000045F3">
        <w:rPr>
          <w:rFonts w:cs="Arial"/>
        </w:rPr>
        <w:t xml:space="preserve"> Last, a</w:t>
      </w:r>
      <w:r w:rsidRPr="000045F3">
        <w:rPr>
          <w:rFonts w:cs="Arial"/>
          <w:szCs w:val="22"/>
        </w:rPr>
        <w:t>n increased stool weight does not guarantee improved laxation, as fluid ingestion also has an effect.</w:t>
      </w:r>
    </w:p>
    <w:p w14:paraId="190EF827" w14:textId="371FAF43" w:rsidR="0010634E" w:rsidRPr="008D35ED" w:rsidRDefault="00E343ED" w:rsidP="000B6ADE">
      <w:pPr>
        <w:pStyle w:val="ListParagraph"/>
        <w:numPr>
          <w:ilvl w:val="0"/>
          <w:numId w:val="15"/>
        </w:numPr>
        <w:rPr>
          <w:rFonts w:cs="Arial"/>
        </w:rPr>
      </w:pPr>
      <w:r w:rsidRPr="00113BEA">
        <w:rPr>
          <w:rFonts w:cs="Arial"/>
          <w:szCs w:val="22"/>
        </w:rPr>
        <w:t>No</w:t>
      </w:r>
      <w:r w:rsidR="007D4917" w:rsidRPr="00113BEA">
        <w:rPr>
          <w:rFonts w:cs="Arial"/>
        </w:rPr>
        <w:t xml:space="preserve"> effect of </w:t>
      </w:r>
      <w:r w:rsidR="00C92EF1">
        <w:rPr>
          <w:rFonts w:cs="Arial"/>
        </w:rPr>
        <w:t>GOS</w:t>
      </w:r>
      <w:r w:rsidR="007D4917" w:rsidRPr="00113BEA">
        <w:rPr>
          <w:rFonts w:cs="Arial"/>
        </w:rPr>
        <w:t xml:space="preserve"> intake on bowel movement or stool fre</w:t>
      </w:r>
      <w:r w:rsidR="007D4917" w:rsidRPr="008D35ED">
        <w:rPr>
          <w:rFonts w:cs="Arial"/>
        </w:rPr>
        <w:t xml:space="preserve">quency, </w:t>
      </w:r>
      <w:r w:rsidR="000C7C89" w:rsidRPr="008D35ED">
        <w:rPr>
          <w:rFonts w:cs="Arial"/>
        </w:rPr>
        <w:t>nor</w:t>
      </w:r>
      <w:r w:rsidR="00855E5A" w:rsidRPr="008D35ED">
        <w:rPr>
          <w:rFonts w:cs="Arial"/>
        </w:rPr>
        <w:t xml:space="preserve"> on</w:t>
      </w:r>
      <w:r w:rsidR="007D4917" w:rsidRPr="008D35ED">
        <w:rPr>
          <w:rFonts w:cs="Arial"/>
        </w:rPr>
        <w:t xml:space="preserve"> intestinal transit time.</w:t>
      </w:r>
    </w:p>
    <w:p w14:paraId="3392B7A3" w14:textId="77777777" w:rsidR="007D4917" w:rsidRPr="008D35ED" w:rsidRDefault="007D4917" w:rsidP="007D4917">
      <w:pPr>
        <w:pStyle w:val="ListParagraph"/>
        <w:rPr>
          <w:rFonts w:cs="Arial"/>
        </w:rPr>
      </w:pPr>
    </w:p>
    <w:p w14:paraId="49523D8D" w14:textId="6BCEC6EA" w:rsidR="007E4985" w:rsidRPr="008D35ED" w:rsidRDefault="007E4985" w:rsidP="009319B1">
      <w:pPr>
        <w:rPr>
          <w:lang w:bidi="ar-SA"/>
        </w:rPr>
      </w:pPr>
      <w:r w:rsidRPr="008D35ED">
        <w:rPr>
          <w:lang w:bidi="ar-SA"/>
        </w:rPr>
        <w:t>We conclude that, when taken a</w:t>
      </w:r>
      <w:r w:rsidR="009319B1">
        <w:rPr>
          <w:lang w:bidi="ar-SA"/>
        </w:rPr>
        <w:t xml:space="preserve">s a whole, the body of evidence </w:t>
      </w:r>
      <w:r w:rsidRPr="008D35ED">
        <w:rPr>
          <w:lang w:bidi="ar-SA"/>
        </w:rPr>
        <w:t xml:space="preserve">does not </w:t>
      </w:r>
      <w:r w:rsidR="00393662" w:rsidRPr="008D35ED">
        <w:rPr>
          <w:lang w:bidi="ar-SA"/>
        </w:rPr>
        <w:t xml:space="preserve">convincingly </w:t>
      </w:r>
      <w:r w:rsidRPr="008D35ED">
        <w:rPr>
          <w:lang w:bidi="ar-SA"/>
        </w:rPr>
        <w:t>demonstrate that</w:t>
      </w:r>
      <w:r w:rsidR="009319B1">
        <w:rPr>
          <w:lang w:bidi="ar-SA"/>
        </w:rPr>
        <w:t xml:space="preserve"> </w:t>
      </w:r>
      <w:r w:rsidR="00C92EF1">
        <w:rPr>
          <w:lang w:bidi="ar-SA"/>
        </w:rPr>
        <w:t>GOS</w:t>
      </w:r>
      <w:r w:rsidRPr="008D35ED">
        <w:rPr>
          <w:lang w:bidi="ar-SA"/>
        </w:rPr>
        <w:t xml:space="preserve"> intake promotes laxation</w:t>
      </w:r>
      <w:r w:rsidR="009319B1">
        <w:rPr>
          <w:lang w:bidi="ar-SA"/>
        </w:rPr>
        <w:t>. Based on current evidence, added</w:t>
      </w:r>
      <w:r w:rsidR="0028316D">
        <w:rPr>
          <w:lang w:bidi="ar-SA"/>
        </w:rPr>
        <w:t xml:space="preserve"> </w:t>
      </w:r>
      <w:r w:rsidR="00C92EF1">
        <w:rPr>
          <w:lang w:bidi="ar-SA"/>
        </w:rPr>
        <w:t>GOS</w:t>
      </w:r>
      <w:r w:rsidRPr="008D35ED">
        <w:rPr>
          <w:lang w:bidi="ar-SA"/>
        </w:rPr>
        <w:t xml:space="preserve"> intake has no effect on</w:t>
      </w:r>
      <w:r w:rsidR="00406A3D" w:rsidRPr="008D35ED">
        <w:rPr>
          <w:lang w:bidi="ar-SA"/>
        </w:rPr>
        <w:t xml:space="preserve"> laxation</w:t>
      </w:r>
      <w:r w:rsidRPr="008D35ED">
        <w:rPr>
          <w:lang w:bidi="ar-SA"/>
        </w:rPr>
        <w:t>.</w:t>
      </w:r>
    </w:p>
    <w:p w14:paraId="2CF0D0BA" w14:textId="3E26AC68" w:rsidR="0021260E" w:rsidRDefault="0021260E" w:rsidP="00672F05">
      <w:pPr>
        <w:rPr>
          <w:rFonts w:cs="Arial"/>
        </w:rPr>
      </w:pPr>
    </w:p>
    <w:p w14:paraId="221E482C" w14:textId="77777777" w:rsidR="00163A88" w:rsidRPr="002330C6" w:rsidRDefault="00163A88" w:rsidP="00661EB8">
      <w:pPr>
        <w:rPr>
          <w:rFonts w:cs="Arial"/>
        </w:rPr>
      </w:pPr>
    </w:p>
    <w:p w14:paraId="39C2CAB6" w14:textId="05162E98" w:rsidR="004748B9" w:rsidRDefault="003D7003" w:rsidP="00A25053">
      <w:pPr>
        <w:pStyle w:val="Heading1"/>
      </w:pPr>
      <w:bookmarkStart w:id="13" w:name="_Toc64561458"/>
      <w:bookmarkStart w:id="14" w:name="_Toc66868360"/>
      <w:r>
        <w:t>1</w:t>
      </w:r>
      <w:r w:rsidR="003009C0">
        <w:t>.</w:t>
      </w:r>
      <w:r w:rsidR="00871D1D">
        <w:t>3</w:t>
      </w:r>
      <w:r w:rsidR="00A25053">
        <w:t xml:space="preserve"> </w:t>
      </w:r>
      <w:r w:rsidR="003009C0">
        <w:t>Reduction in b</w:t>
      </w:r>
      <w:r w:rsidR="004748B9">
        <w:t>lood cholesterol</w:t>
      </w:r>
      <w:bookmarkEnd w:id="13"/>
      <w:bookmarkEnd w:id="14"/>
    </w:p>
    <w:p w14:paraId="1DF28AA8" w14:textId="77777777" w:rsidR="00074BAA" w:rsidRPr="00B52107" w:rsidRDefault="00074BAA" w:rsidP="0073104D">
      <w:pPr>
        <w:pStyle w:val="Heading2"/>
      </w:pPr>
      <w:bookmarkStart w:id="15" w:name="_Toc64561459"/>
      <w:bookmarkStart w:id="16" w:name="_Toc66868361"/>
      <w:r>
        <w:t>1</w:t>
      </w:r>
      <w:r w:rsidRPr="00B52107">
        <w:t xml:space="preserve">.3.1 </w:t>
      </w:r>
      <w:r>
        <w:t>Assessment: results</w:t>
      </w:r>
      <w:bookmarkEnd w:id="15"/>
      <w:bookmarkEnd w:id="16"/>
    </w:p>
    <w:p w14:paraId="7CBDFE02" w14:textId="1677B5AD" w:rsidR="00074BAA" w:rsidRDefault="00074BAA" w:rsidP="00074BAA">
      <w:pPr>
        <w:rPr>
          <w:rFonts w:cs="Arial"/>
          <w:szCs w:val="22"/>
        </w:rPr>
      </w:pPr>
      <w:r>
        <w:rPr>
          <w:lang w:bidi="ar-SA"/>
        </w:rPr>
        <w:t>Five studies are reviewed here</w:t>
      </w:r>
      <w:r w:rsidRPr="005D18E3">
        <w:rPr>
          <w:rFonts w:cs="Arial"/>
        </w:rPr>
        <w:t xml:space="preserve"> </w:t>
      </w:r>
      <w:r>
        <w:rPr>
          <w:rFonts w:cs="Arial"/>
        </w:rPr>
        <w:t xml:space="preserve">to evaluate </w:t>
      </w:r>
      <w:r w:rsidR="0028316D">
        <w:rPr>
          <w:rFonts w:cs="Arial"/>
        </w:rPr>
        <w:t xml:space="preserve">the relationship between added </w:t>
      </w:r>
      <w:r w:rsidR="00C92EF1">
        <w:rPr>
          <w:rFonts w:cs="Arial"/>
        </w:rPr>
        <w:t>GOS</w:t>
      </w:r>
      <w:r>
        <w:rPr>
          <w:rFonts w:cs="Arial"/>
        </w:rPr>
        <w:t xml:space="preserve"> intake, and outcomes related to blood cholesterol</w:t>
      </w:r>
      <w:r>
        <w:rPr>
          <w:lang w:bidi="ar-SA"/>
        </w:rPr>
        <w:t>. Participants’ diet</w:t>
      </w:r>
      <w:r w:rsidR="008F4018">
        <w:rPr>
          <w:lang w:bidi="ar-SA"/>
        </w:rPr>
        <w:t>s</w:t>
      </w:r>
      <w:r>
        <w:rPr>
          <w:lang w:bidi="ar-SA"/>
        </w:rPr>
        <w:t xml:space="preserve"> were either controlled (van Dokkum et al. 1999), measured and reported to be unchanged (Vulevic et al. 2013, Pedersen et al. 2016, and </w:t>
      </w:r>
      <w:r w:rsidRPr="004055CD">
        <w:rPr>
          <w:lang w:bidi="ar-SA"/>
        </w:rPr>
        <w:t>Canfora et al. 2017</w:t>
      </w:r>
      <w:r w:rsidRPr="004055CD">
        <w:rPr>
          <w:rFonts w:cs="Arial"/>
          <w:szCs w:val="22"/>
          <w:lang w:bidi="ar-SA"/>
        </w:rPr>
        <w:t>),</w:t>
      </w:r>
      <w:r>
        <w:rPr>
          <w:rFonts w:cs="Arial"/>
          <w:szCs w:val="22"/>
          <w:lang w:bidi="ar-SA"/>
        </w:rPr>
        <w:t xml:space="preserve"> or not measured (</w:t>
      </w:r>
      <w:r>
        <w:rPr>
          <w:lang w:bidi="ar-SA"/>
        </w:rPr>
        <w:t>Vulevic et al. 200</w:t>
      </w:r>
      <w:r w:rsidRPr="004055CD">
        <w:rPr>
          <w:lang w:bidi="ar-SA"/>
        </w:rPr>
        <w:t>8).</w:t>
      </w:r>
      <w:r>
        <w:rPr>
          <w:lang w:bidi="ar-SA"/>
        </w:rPr>
        <w:t xml:space="preserve"> In the intervention conditions, participants consumed a </w:t>
      </w:r>
      <w:r w:rsidR="00C92EF1">
        <w:rPr>
          <w:rFonts w:cs="Arial"/>
        </w:rPr>
        <w:t>GOS</w:t>
      </w:r>
      <w:r w:rsidR="003124E5">
        <w:rPr>
          <w:lang w:bidi="ar-SA"/>
        </w:rPr>
        <w:t xml:space="preserve"> intak</w:t>
      </w:r>
      <w:r>
        <w:rPr>
          <w:lang w:bidi="ar-SA"/>
        </w:rPr>
        <w:t xml:space="preserve">e of </w:t>
      </w:r>
      <w:r w:rsidRPr="009F6928">
        <w:rPr>
          <w:lang w:bidi="ar-SA"/>
        </w:rPr>
        <w:t>2.6 g</w:t>
      </w:r>
      <w:r>
        <w:rPr>
          <w:lang w:bidi="ar-SA"/>
        </w:rPr>
        <w:t>/day</w:t>
      </w:r>
      <w:r w:rsidRPr="009F6928">
        <w:rPr>
          <w:lang w:bidi="ar-SA"/>
        </w:rPr>
        <w:t xml:space="preserve"> (V</w:t>
      </w:r>
      <w:r>
        <w:rPr>
          <w:lang w:bidi="ar-SA"/>
        </w:rPr>
        <w:t xml:space="preserve">ulevic et al. 2008, Vulevic et al. 2013, and </w:t>
      </w:r>
      <w:r w:rsidRPr="008D35ED">
        <w:rPr>
          <w:lang w:bidi="ar-SA"/>
        </w:rPr>
        <w:t xml:space="preserve">Pedersen et al. 2016) or </w:t>
      </w:r>
      <w:r w:rsidRPr="008D35ED">
        <w:rPr>
          <w:rFonts w:cs="Arial"/>
        </w:rPr>
        <w:t>15 g/day (</w:t>
      </w:r>
      <w:r w:rsidRPr="008D35ED">
        <w:rPr>
          <w:lang w:bidi="ar-SA"/>
        </w:rPr>
        <w:t xml:space="preserve">van Dokkum et al. 1999, and Canfora et al. 2017). The intervention conditions’ duration ranged from three weeks (van Dokkum et al. 1999) to 10 weeks (Vulevic et al. 2008) and 12 weeks (Vulevic et al. 2013, Pedersen et al. 2016, and Canfora et al. 2017). This duration provides an adequate opportunity for blood lipid concentrations to respond to the treatment. </w:t>
      </w:r>
      <w:r w:rsidRPr="008D35ED">
        <w:rPr>
          <w:rFonts w:cs="Arial"/>
        </w:rPr>
        <w:t xml:space="preserve">We report the methodology of our review and the included studies in </w:t>
      </w:r>
      <w:r w:rsidR="002D67B2">
        <w:rPr>
          <w:rFonts w:cs="Arial"/>
        </w:rPr>
        <w:t xml:space="preserve">Appendices </w:t>
      </w:r>
      <w:r w:rsidRPr="008D35ED">
        <w:rPr>
          <w:rFonts w:cs="Arial"/>
        </w:rPr>
        <w:t>Sections</w:t>
      </w:r>
      <w:r>
        <w:rPr>
          <w:rFonts w:cs="Arial"/>
        </w:rPr>
        <w:t xml:space="preserve"> 2.3</w:t>
      </w:r>
      <w:r w:rsidRPr="005B4B6F">
        <w:rPr>
          <w:rFonts w:cs="Arial"/>
        </w:rPr>
        <w:t xml:space="preserve"> and 2.6.</w:t>
      </w:r>
      <w:r>
        <w:rPr>
          <w:rFonts w:cs="Arial"/>
        </w:rPr>
        <w:t xml:space="preserve"> We </w:t>
      </w:r>
      <w:r w:rsidRPr="006B2873">
        <w:rPr>
          <w:rFonts w:cs="Arial"/>
          <w:szCs w:val="22"/>
        </w:rPr>
        <w:t xml:space="preserve">note that in one </w:t>
      </w:r>
      <w:r w:rsidR="00ED7ED0">
        <w:rPr>
          <w:rFonts w:cs="Arial"/>
          <w:szCs w:val="22"/>
        </w:rPr>
        <w:t xml:space="preserve">study a </w:t>
      </w:r>
      <w:r w:rsidRPr="006B2873">
        <w:rPr>
          <w:rFonts w:cs="Arial"/>
          <w:szCs w:val="22"/>
        </w:rPr>
        <w:t>particip</w:t>
      </w:r>
      <w:r w:rsidRPr="004525A4">
        <w:rPr>
          <w:rFonts w:cs="Arial"/>
          <w:szCs w:val="22"/>
        </w:rPr>
        <w:t xml:space="preserve">ant </w:t>
      </w:r>
      <w:r w:rsidRPr="004525A4">
        <w:rPr>
          <w:rFonts w:cs="Arial"/>
          <w:szCs w:val="22"/>
        </w:rPr>
        <w:lastRenderedPageBreak/>
        <w:t>withdrew after three weeks due to “tolerance problems” which is not further described (</w:t>
      </w:r>
      <w:r>
        <w:rPr>
          <w:rFonts w:cs="Arial"/>
          <w:szCs w:val="22"/>
        </w:rPr>
        <w:t xml:space="preserve">Vulevic et al. 2008). </w:t>
      </w:r>
      <w:r w:rsidR="00A407D3">
        <w:rPr>
          <w:rFonts w:cs="Arial"/>
          <w:szCs w:val="22"/>
        </w:rPr>
        <w:t>Pedersen</w:t>
      </w:r>
      <w:r>
        <w:rPr>
          <w:rFonts w:cs="Arial"/>
          <w:szCs w:val="22"/>
        </w:rPr>
        <w:t xml:space="preserve"> et al. (2016) also reported </w:t>
      </w:r>
      <w:r w:rsidRPr="006B2873">
        <w:rPr>
          <w:rFonts w:cs="Arial"/>
          <w:szCs w:val="22"/>
        </w:rPr>
        <w:t>one particip</w:t>
      </w:r>
      <w:r w:rsidRPr="004525A4">
        <w:rPr>
          <w:rFonts w:cs="Arial"/>
          <w:szCs w:val="22"/>
        </w:rPr>
        <w:t>ant withdrew</w:t>
      </w:r>
      <w:r>
        <w:rPr>
          <w:rFonts w:cs="Arial"/>
          <w:szCs w:val="22"/>
        </w:rPr>
        <w:t xml:space="preserve"> due to gastrointestinal upset, however, the severity of symptoms and </w:t>
      </w:r>
      <w:r w:rsidR="00ED7ED0">
        <w:rPr>
          <w:rFonts w:cs="Arial"/>
          <w:szCs w:val="22"/>
        </w:rPr>
        <w:t xml:space="preserve">possible </w:t>
      </w:r>
      <w:r>
        <w:rPr>
          <w:rFonts w:cs="Arial"/>
          <w:szCs w:val="22"/>
        </w:rPr>
        <w:t>cause are also not specified.</w:t>
      </w:r>
    </w:p>
    <w:p w14:paraId="1FC68EA9" w14:textId="77777777" w:rsidR="00074BAA" w:rsidRPr="00B15C9A" w:rsidRDefault="00074BAA" w:rsidP="00074BAA">
      <w:pPr>
        <w:rPr>
          <w:rFonts w:cs="Arial"/>
          <w:szCs w:val="22"/>
        </w:rPr>
      </w:pPr>
    </w:p>
    <w:p w14:paraId="01FC1DBA" w14:textId="2418A8A7" w:rsidR="008B51A4" w:rsidRPr="00CA23F6" w:rsidRDefault="00074BAA" w:rsidP="008B51A4">
      <w:r>
        <w:rPr>
          <w:lang w:bidi="ar-SA"/>
        </w:rPr>
        <w:t xml:space="preserve">Selected outcomes, based on their </w:t>
      </w:r>
      <w:r w:rsidRPr="008D35ED">
        <w:rPr>
          <w:lang w:bidi="ar-SA"/>
        </w:rPr>
        <w:t xml:space="preserve">relevance to </w:t>
      </w:r>
      <w:r w:rsidR="00ED747E">
        <w:rPr>
          <w:lang w:bidi="ar-SA"/>
        </w:rPr>
        <w:t>the beneficial physiological effect listed in</w:t>
      </w:r>
      <w:r w:rsidRPr="008D35ED">
        <w:rPr>
          <w:lang w:bidi="ar-SA"/>
        </w:rPr>
        <w:t xml:space="preserve"> the Code’s definition of dietary fibre (i.e. “reduction in blood cholesterol”) and assessed by at least two studies, are presented in Table </w:t>
      </w:r>
      <w:r w:rsidR="00A65AE0">
        <w:rPr>
          <w:lang w:bidi="ar-SA"/>
        </w:rPr>
        <w:t>3</w:t>
      </w:r>
      <w:r w:rsidRPr="008D35ED">
        <w:rPr>
          <w:lang w:bidi="ar-SA"/>
        </w:rPr>
        <w:t xml:space="preserve">. Thus, we are primarily interested in assessing whether </w:t>
      </w:r>
      <w:r w:rsidR="00C92EF1">
        <w:rPr>
          <w:lang w:bidi="ar-SA"/>
        </w:rPr>
        <w:t>GOS</w:t>
      </w:r>
      <w:r w:rsidRPr="008D35ED">
        <w:rPr>
          <w:lang w:bidi="ar-SA"/>
        </w:rPr>
        <w:t xml:space="preserve"> intake reduces total and LDL-cholesterol concentration. We also assessed related benefits: increases to HDL-cholesterol concentrations; and, reductions to triglyceride concentrations which, while not a blood cholesterol, is a blood lipid marker relevant to dyslipidaemia and cardiovascular disease. A secondary reason to focus on total and LDL-cholesterol reduction is that, in Australia, dyslipidaemia is more commonly diagnosed</w:t>
      </w:r>
      <w:r>
        <w:rPr>
          <w:lang w:bidi="ar-SA"/>
        </w:rPr>
        <w:t xml:space="preserve"> on the basis of high total or LDL-cholesterol, rather than high triglycerides, low HDL-cholesterol, or lipid-modifying medication use with normal lipid levels. The most recent national, measured data was collected in 2011-12; 63% of Australians aged 18 and over had dyslipidaemia, one in three (33%) had high fasting total </w:t>
      </w:r>
      <w:r w:rsidRPr="00513652">
        <w:rPr>
          <w:lang w:bidi="ar-SA"/>
        </w:rPr>
        <w:t>cholesterol (</w:t>
      </w:r>
      <w:r w:rsidRPr="00513652">
        <w:rPr>
          <w:rFonts w:cs="Arial"/>
          <w:lang w:bidi="ar-SA"/>
        </w:rPr>
        <w:t>≥5.5 mmol/L),</w:t>
      </w:r>
      <w:r w:rsidRPr="00513652">
        <w:rPr>
          <w:lang w:bidi="ar-SA"/>
        </w:rPr>
        <w:t xml:space="preserve"> and one in three</w:t>
      </w:r>
      <w:r>
        <w:rPr>
          <w:lang w:bidi="ar-SA"/>
        </w:rPr>
        <w:t xml:space="preserve"> (33%)</w:t>
      </w:r>
      <w:r w:rsidRPr="00513652">
        <w:rPr>
          <w:lang w:bidi="ar-SA"/>
        </w:rPr>
        <w:t xml:space="preserve"> had high</w:t>
      </w:r>
      <w:r>
        <w:rPr>
          <w:lang w:bidi="ar-SA"/>
        </w:rPr>
        <w:t xml:space="preserve"> fasting</w:t>
      </w:r>
      <w:r w:rsidRPr="00513652">
        <w:rPr>
          <w:lang w:bidi="ar-SA"/>
        </w:rPr>
        <w:t xml:space="preserve"> LDL-cholesterol (</w:t>
      </w:r>
      <w:r w:rsidRPr="00513652">
        <w:rPr>
          <w:rFonts w:cs="Arial"/>
          <w:lang w:bidi="ar-SA"/>
        </w:rPr>
        <w:t>≥</w:t>
      </w:r>
      <w:r w:rsidRPr="00513652">
        <w:rPr>
          <w:lang w:bidi="ar-SA"/>
        </w:rPr>
        <w:t>3.5 mmol/L; ABS 2013).</w:t>
      </w:r>
      <w:r>
        <w:rPr>
          <w:lang w:bidi="ar-SA"/>
        </w:rPr>
        <w:t xml:space="preserve"> </w:t>
      </w:r>
      <w:r w:rsidRPr="004525A4">
        <w:rPr>
          <w:lang w:bidi="ar-SA"/>
        </w:rPr>
        <w:t xml:space="preserve">No improvements in the four blood lipid measures </w:t>
      </w:r>
      <w:r>
        <w:rPr>
          <w:lang w:bidi="ar-SA"/>
        </w:rPr>
        <w:t xml:space="preserve">(total, LDL-, and HDL-cholesterol, and triglycerides) </w:t>
      </w:r>
      <w:r w:rsidRPr="004525A4">
        <w:rPr>
          <w:lang w:bidi="ar-SA"/>
        </w:rPr>
        <w:t>were found by four of five studies (van Dokkum et al. 1999, Vulevic et al. 2008, Pedersen et al. 2016, or Canfora et al. 2017).</w:t>
      </w:r>
      <w:r>
        <w:rPr>
          <w:lang w:bidi="ar-SA"/>
        </w:rPr>
        <w:t xml:space="preserve"> </w:t>
      </w:r>
      <w:r w:rsidRPr="004525A4">
        <w:rPr>
          <w:lang w:bidi="ar-SA"/>
        </w:rPr>
        <w:t xml:space="preserve">The remaining study by </w:t>
      </w:r>
      <w:r>
        <w:rPr>
          <w:lang w:bidi="ar-SA"/>
        </w:rPr>
        <w:t xml:space="preserve">Vulevic et al. (2013) found half the blood lipid outcomes </w:t>
      </w:r>
      <w:r w:rsidRPr="008D35ED">
        <w:rPr>
          <w:lang w:bidi="ar-SA"/>
        </w:rPr>
        <w:t>were unchanged and half improved (a small, statistically significant reduction in total cho</w:t>
      </w:r>
      <w:r w:rsidRPr="004525A4">
        <w:rPr>
          <w:lang w:bidi="ar-SA"/>
        </w:rPr>
        <w:t>lesterol and triglyceride concentration</w:t>
      </w:r>
      <w:r>
        <w:rPr>
          <w:lang w:bidi="ar-SA"/>
        </w:rPr>
        <w:t xml:space="preserve">; see Table </w:t>
      </w:r>
      <w:r w:rsidR="00A65AE0">
        <w:rPr>
          <w:lang w:bidi="ar-SA"/>
        </w:rPr>
        <w:t>3</w:t>
      </w:r>
      <w:r w:rsidRPr="004525A4">
        <w:rPr>
          <w:lang w:bidi="ar-SA"/>
        </w:rPr>
        <w:t>)</w:t>
      </w:r>
      <w:r>
        <w:rPr>
          <w:lang w:bidi="ar-SA"/>
        </w:rPr>
        <w:t xml:space="preserve">. </w:t>
      </w:r>
      <w:r w:rsidR="00B466E9">
        <w:rPr>
          <w:lang w:bidi="ar-SA"/>
        </w:rPr>
        <w:t xml:space="preserve">Vulevic et al. (2013) also found a fifth outcome, </w:t>
      </w:r>
      <w:r w:rsidR="00B466E9" w:rsidRPr="008B51A4">
        <w:rPr>
          <w:szCs w:val="22"/>
          <w:lang w:bidi="ar-SA"/>
        </w:rPr>
        <w:t>total cholesterol:HDL-cholesterol</w:t>
      </w:r>
      <w:r w:rsidR="00B466E9">
        <w:rPr>
          <w:szCs w:val="22"/>
          <w:lang w:bidi="ar-SA"/>
        </w:rPr>
        <w:t xml:space="preserve">, was lower (improved) in the </w:t>
      </w:r>
      <w:r w:rsidR="00C92EF1">
        <w:rPr>
          <w:rFonts w:cs="Arial"/>
          <w:szCs w:val="22"/>
        </w:rPr>
        <w:t>GOS</w:t>
      </w:r>
      <w:r w:rsidR="00B466E9" w:rsidRPr="008B51A4">
        <w:rPr>
          <w:rFonts w:cs="Arial"/>
          <w:szCs w:val="22"/>
        </w:rPr>
        <w:t xml:space="preserve"> condition</w:t>
      </w:r>
      <w:r w:rsidR="000474B7">
        <w:rPr>
          <w:rFonts w:cs="Arial"/>
          <w:szCs w:val="22"/>
        </w:rPr>
        <w:t xml:space="preserve"> at the end of the 12 week study period</w:t>
      </w:r>
      <w:r w:rsidR="00B466E9">
        <w:rPr>
          <w:lang w:bidi="ar-SA"/>
        </w:rPr>
        <w:t xml:space="preserve"> (</w:t>
      </w:r>
      <w:r w:rsidR="000474B7">
        <w:rPr>
          <w:lang w:bidi="ar-SA"/>
        </w:rPr>
        <w:t xml:space="preserve">data </w:t>
      </w:r>
      <w:r w:rsidR="00B466E9">
        <w:rPr>
          <w:lang w:bidi="ar-SA"/>
        </w:rPr>
        <w:t xml:space="preserve">not shown in Table </w:t>
      </w:r>
      <w:r w:rsidR="00A65AE0">
        <w:rPr>
          <w:lang w:bidi="ar-SA"/>
        </w:rPr>
        <w:t>3</w:t>
      </w:r>
      <w:r w:rsidR="00B466E9">
        <w:rPr>
          <w:lang w:bidi="ar-SA"/>
        </w:rPr>
        <w:t xml:space="preserve">; see </w:t>
      </w:r>
      <w:r w:rsidR="0075189F">
        <w:rPr>
          <w:lang w:bidi="ar-SA"/>
        </w:rPr>
        <w:t>Appendix</w:t>
      </w:r>
      <w:r w:rsidR="00B466E9">
        <w:rPr>
          <w:lang w:bidi="ar-SA"/>
        </w:rPr>
        <w:t xml:space="preserve"> Section 2.3.2). </w:t>
      </w:r>
      <w:r>
        <w:rPr>
          <w:lang w:bidi="ar-SA"/>
        </w:rPr>
        <w:t>Participants in the latter study were aged 18 to 65 years, had a body mass index &gt;25 kg/m</w:t>
      </w:r>
      <w:r>
        <w:rPr>
          <w:vertAlign w:val="superscript"/>
          <w:lang w:bidi="ar-SA"/>
        </w:rPr>
        <w:t>2</w:t>
      </w:r>
      <w:r>
        <w:rPr>
          <w:lang w:bidi="ar-SA"/>
        </w:rPr>
        <w:t xml:space="preserve">, and had </w:t>
      </w:r>
      <w:r>
        <w:rPr>
          <w:rFonts w:cs="Arial"/>
          <w:lang w:bidi="ar-SA"/>
        </w:rPr>
        <w:t>≥</w:t>
      </w:r>
      <w:r>
        <w:rPr>
          <w:lang w:bidi="ar-SA"/>
        </w:rPr>
        <w:t xml:space="preserve"> three metabolic syndrome risk factors. These risk </w:t>
      </w:r>
      <w:r w:rsidRPr="008D35ED">
        <w:rPr>
          <w:lang w:bidi="ar-SA"/>
        </w:rPr>
        <w:t>factors include</w:t>
      </w:r>
      <w:r w:rsidR="00DD2A06">
        <w:rPr>
          <w:lang w:bidi="ar-SA"/>
        </w:rPr>
        <w:t>d</w:t>
      </w:r>
      <w:r w:rsidRPr="008D35ED">
        <w:rPr>
          <w:lang w:bidi="ar-SA"/>
        </w:rPr>
        <w:t xml:space="preserve">: </w:t>
      </w:r>
      <w:r w:rsidRPr="008D35ED">
        <w:t>fasting glucose &gt;5.6 mmol/L; high blood pressure (not defined by authors); dyslipidaemia (HDL-cholesterol &lt;1 mmol/L, triglyceride &gt;1.3 mmol/L); and, waist circumference (&gt;</w:t>
      </w:r>
      <w:r>
        <w:t xml:space="preserve">94 cm in men, &gt;80 cm </w:t>
      </w:r>
      <w:r w:rsidRPr="00F05681">
        <w:t>in women). Participants also met extensive exclusion criteria including but not limited to:</w:t>
      </w:r>
      <w:r w:rsidRPr="00F05681">
        <w:rPr>
          <w:lang w:bidi="ar-SA"/>
        </w:rPr>
        <w:t xml:space="preserve"> </w:t>
      </w:r>
      <w:r w:rsidRPr="00F05681">
        <w:t>myocardial infarction/stroke</w:t>
      </w:r>
      <w:r w:rsidR="001E02AA" w:rsidRPr="00F05681">
        <w:t xml:space="preserve"> or cancer</w:t>
      </w:r>
      <w:r w:rsidRPr="00F05681">
        <w:t xml:space="preserve"> in the previous 12 months; diagnosed diabetes, fasting glucose &gt;7 mmol/L, or other endocrine disorders; chronic coronary disorders, cholestatic liver, or pancreatitis; receiving medication for hyperlipidaemia, hypertension, inflammation, or hypercoagulation; trying or intending to complete a weight loss regime; and, smoking or a history of alcohol </w:t>
      </w:r>
      <w:r w:rsidR="00693DFA" w:rsidRPr="00F05681">
        <w:t xml:space="preserve">or drug </w:t>
      </w:r>
      <w:r w:rsidRPr="00F05681">
        <w:t>abuse.</w:t>
      </w:r>
      <w:r w:rsidR="00F05681" w:rsidRPr="00F05681">
        <w:t xml:space="preserve"> Further criteria are listed in</w:t>
      </w:r>
      <w:r w:rsidR="00F90172">
        <w:t xml:space="preserve"> </w:t>
      </w:r>
      <w:r w:rsidR="0075189F">
        <w:t>Appendix</w:t>
      </w:r>
      <w:r w:rsidR="00F05681" w:rsidRPr="00F05681">
        <w:t xml:space="preserve"> Section 2.3.2.</w:t>
      </w:r>
      <w:r w:rsidRPr="00F05681">
        <w:t xml:space="preserve"> </w:t>
      </w:r>
      <w:r w:rsidRPr="00F05681">
        <w:rPr>
          <w:lang w:bidi="ar-SA"/>
        </w:rPr>
        <w:t xml:space="preserve">The lipid outcomes of Vulevic et al. (2013) are mixed and, when taken in context of the other four </w:t>
      </w:r>
      <w:r>
        <w:rPr>
          <w:lang w:bidi="ar-SA"/>
        </w:rPr>
        <w:t xml:space="preserve">studies, may indicate that the beneficial effect of </w:t>
      </w:r>
      <w:r w:rsidR="00C92EF1">
        <w:rPr>
          <w:lang w:bidi="ar-SA"/>
        </w:rPr>
        <w:t>GOS</w:t>
      </w:r>
      <w:r w:rsidRPr="008D35ED">
        <w:rPr>
          <w:lang w:bidi="ar-SA"/>
        </w:rPr>
        <w:t xml:space="preserve"> intake on total cholesterol and triglycerides could be limited to those with </w:t>
      </w:r>
      <w:r w:rsidRPr="0078427B">
        <w:rPr>
          <w:lang w:bidi="ar-SA"/>
        </w:rPr>
        <w:t xml:space="preserve">dyslipidaemia. However, we question the </w:t>
      </w:r>
      <w:r w:rsidRPr="0078427B">
        <w:rPr>
          <w:i/>
          <w:lang w:bidi="ar-SA"/>
        </w:rPr>
        <w:t>P</w:t>
      </w:r>
      <w:r w:rsidRPr="0078427B">
        <w:t xml:space="preserve"> values </w:t>
      </w:r>
      <w:r w:rsidRPr="0078427B">
        <w:rPr>
          <w:lang w:bidi="ar-SA"/>
        </w:rPr>
        <w:t xml:space="preserve">of </w:t>
      </w:r>
      <w:r w:rsidRPr="00A8515B">
        <w:rPr>
          <w:lang w:bidi="ar-SA"/>
        </w:rPr>
        <w:t xml:space="preserve">Vulevic et al. (2013) </w:t>
      </w:r>
      <w:r w:rsidRPr="00A8515B">
        <w:t xml:space="preserve">for the difference in </w:t>
      </w:r>
      <w:r w:rsidRPr="00A8515B">
        <w:rPr>
          <w:lang w:bidi="ar-SA"/>
        </w:rPr>
        <w:t>total cholesterol and triglyceride levels between groups</w:t>
      </w:r>
      <w:r w:rsidR="00B92662">
        <w:rPr>
          <w:lang w:bidi="ar-SA"/>
        </w:rPr>
        <w:t xml:space="preserve"> at follow-up (i.e. end of the 12-week condition)</w:t>
      </w:r>
      <w:r w:rsidR="00042F20" w:rsidRPr="00A8515B">
        <w:rPr>
          <w:lang w:bidi="ar-SA"/>
        </w:rPr>
        <w:t xml:space="preserve">. </w:t>
      </w:r>
      <w:r w:rsidR="00042F20" w:rsidRPr="00A8515B">
        <w:rPr>
          <w:szCs w:val="22"/>
          <w:lang w:val="en-AU"/>
        </w:rPr>
        <w:t>We</w:t>
      </w:r>
      <w:r w:rsidR="00042F20" w:rsidRPr="00A8515B">
        <w:rPr>
          <w:lang w:bidi="ar-SA"/>
        </w:rPr>
        <w:t xml:space="preserve"> sought clarification from the corresponding author on some of these statistically different results, </w:t>
      </w:r>
      <w:r w:rsidR="00042F20" w:rsidRPr="00A8515B">
        <w:rPr>
          <w:szCs w:val="22"/>
          <w:lang w:val="en-AU"/>
        </w:rPr>
        <w:t xml:space="preserve">but did not receive a response. </w:t>
      </w:r>
      <w:r w:rsidR="00042F20" w:rsidRPr="00A8515B">
        <w:rPr>
          <w:lang w:bidi="ar-SA"/>
        </w:rPr>
        <w:t>First</w:t>
      </w:r>
      <w:r>
        <w:rPr>
          <w:lang w:bidi="ar-SA"/>
        </w:rPr>
        <w:t>,</w:t>
      </w:r>
      <w:r w:rsidRPr="008D35ED">
        <w:rPr>
          <w:lang w:bidi="ar-SA"/>
        </w:rPr>
        <w:t xml:space="preserve"> the</w:t>
      </w:r>
      <w:r>
        <w:rPr>
          <w:lang w:bidi="ar-SA"/>
        </w:rPr>
        <w:t xml:space="preserve"> </w:t>
      </w:r>
      <w:r>
        <w:t>size of the mean differences and standard deviations relative to means</w:t>
      </w:r>
      <w:r w:rsidR="00A8515B">
        <w:t>, suggests that a significant difference is unlikely</w:t>
      </w:r>
      <w:r>
        <w:t>. Second, we have assumed that all plasma samples were taken from fasted participants</w:t>
      </w:r>
      <w:r w:rsidRPr="002C6119">
        <w:t xml:space="preserve"> </w:t>
      </w:r>
      <w:r>
        <w:t>at all time points. This, however, is not clearly stated; fasting status is recommended for triglycerides in order to detect potentially small changes, because triglyceride levels can be influenced by a high fat meal intake prior to, and on the day of, blood collection (Nordestgaard et al. 2016). Third, the</w:t>
      </w:r>
      <w:r w:rsidRPr="008D35ED">
        <w:rPr>
          <w:lang w:bidi="ar-SA"/>
        </w:rPr>
        <w:t xml:space="preserve"> total cholesterol results </w:t>
      </w:r>
      <w:r>
        <w:rPr>
          <w:lang w:bidi="ar-SA"/>
        </w:rPr>
        <w:t xml:space="preserve">conflict </w:t>
      </w:r>
      <w:r w:rsidRPr="008D35ED">
        <w:rPr>
          <w:lang w:bidi="ar-SA"/>
        </w:rPr>
        <w:t xml:space="preserve">with a similarly designed study. </w:t>
      </w:r>
      <w:r>
        <w:rPr>
          <w:lang w:bidi="ar-SA"/>
        </w:rPr>
        <w:t>I</w:t>
      </w:r>
      <w:r w:rsidRPr="008D35ED">
        <w:rPr>
          <w:lang w:bidi="ar-SA"/>
        </w:rPr>
        <w:t>n contrast, the earlier and similarly designed study by Vulevic et al. (2008) demonstrated no difference in total cholesterol between the intervention and control groups over time (</w:t>
      </w:r>
      <w:r w:rsidRPr="008D35ED">
        <w:rPr>
          <w:i/>
          <w:lang w:bidi="ar-SA"/>
        </w:rPr>
        <w:t>P</w:t>
      </w:r>
      <w:r w:rsidRPr="008D35ED">
        <w:rPr>
          <w:lang w:bidi="ar-SA"/>
        </w:rPr>
        <w:t xml:space="preserve">&gt;0.05; triglycerides were not measured). The main difference between these two studies are the samples’ characteristics. In comparison to Vulevic et al. (2013), the earlier study’s sample: was not recruited on the basis of metabolic syndrome risk factors; were assessed as in “good health”; had a ~1.3 mmol/L </w:t>
      </w:r>
      <w:r w:rsidRPr="008D35ED">
        <w:rPr>
          <w:lang w:bidi="ar-SA"/>
        </w:rPr>
        <w:lastRenderedPageBreak/>
        <w:t xml:space="preserve">lower total cholesterol (mean </w:t>
      </w:r>
      <w:r w:rsidRPr="008D35ED">
        <w:rPr>
          <w:rFonts w:cs="Arial"/>
          <w:lang w:bidi="ar-SA"/>
        </w:rPr>
        <w:t>±</w:t>
      </w:r>
      <w:r w:rsidRPr="008D35ED">
        <w:rPr>
          <w:lang w:bidi="ar-SA"/>
        </w:rPr>
        <w:t xml:space="preserve"> SD: ~5.0 </w:t>
      </w:r>
      <w:r w:rsidRPr="008D35ED">
        <w:rPr>
          <w:rFonts w:cs="Arial"/>
          <w:lang w:bidi="ar-SA"/>
        </w:rPr>
        <w:t xml:space="preserve">± ~0.9 </w:t>
      </w:r>
      <w:r w:rsidRPr="008D35ED">
        <w:rPr>
          <w:lang w:bidi="ar-SA"/>
        </w:rPr>
        <w:t xml:space="preserve">mmol/L); were older (mean </w:t>
      </w:r>
      <w:r w:rsidRPr="008D35ED">
        <w:rPr>
          <w:rFonts w:cs="Arial"/>
          <w:lang w:bidi="ar-SA"/>
        </w:rPr>
        <w:t>±</w:t>
      </w:r>
      <w:r w:rsidRPr="008D35ED">
        <w:rPr>
          <w:lang w:bidi="ar-SA"/>
        </w:rPr>
        <w:t xml:space="preserve"> SD: 69.3 </w:t>
      </w:r>
      <w:r w:rsidRPr="008D35ED">
        <w:rPr>
          <w:rFonts w:cs="Arial"/>
          <w:lang w:bidi="ar-SA"/>
        </w:rPr>
        <w:t>±</w:t>
      </w:r>
      <w:r w:rsidRPr="008D35ED">
        <w:rPr>
          <w:lang w:bidi="ar-SA"/>
        </w:rPr>
        <w:t xml:space="preserve"> 4.0 years; range: 64–79 years); had a lower body mass index (range: 22–31 kg/m</w:t>
      </w:r>
      <w:r w:rsidRPr="008D35ED">
        <w:rPr>
          <w:vertAlign w:val="superscript"/>
          <w:lang w:bidi="ar-SA"/>
        </w:rPr>
        <w:t>2</w:t>
      </w:r>
      <w:r w:rsidRPr="008D35ED">
        <w:rPr>
          <w:lang w:bidi="ar-SA"/>
        </w:rPr>
        <w:t xml:space="preserve">); and, had almost the same male:female (16:28). This supports the hypothesis that the results of Vulevic et al. (2013) may </w:t>
      </w:r>
      <w:r>
        <w:rPr>
          <w:lang w:bidi="ar-SA"/>
        </w:rPr>
        <w:t>not be widely</w:t>
      </w:r>
      <w:r w:rsidRPr="008D35ED">
        <w:rPr>
          <w:lang w:bidi="ar-SA"/>
        </w:rPr>
        <w:t xml:space="preserve"> generalisab</w:t>
      </w:r>
      <w:r>
        <w:rPr>
          <w:lang w:bidi="ar-SA"/>
        </w:rPr>
        <w:t>le</w:t>
      </w:r>
      <w:r w:rsidRPr="008D35ED">
        <w:rPr>
          <w:lang w:bidi="ar-SA"/>
        </w:rPr>
        <w:t>.</w:t>
      </w:r>
    </w:p>
    <w:p w14:paraId="1B21CBB8" w14:textId="77777777" w:rsidR="00074BAA" w:rsidRDefault="00074BAA" w:rsidP="00074BAA"/>
    <w:p w14:paraId="7A910278" w14:textId="77777777" w:rsidR="00074BAA" w:rsidRPr="00DD410C" w:rsidRDefault="00074BAA" w:rsidP="00074BAA">
      <w:pPr>
        <w:rPr>
          <w:lang w:bidi="ar-SA"/>
        </w:rPr>
        <w:sectPr w:rsidR="00074BAA" w:rsidRPr="00DD410C" w:rsidSect="005A1D4E">
          <w:pgSz w:w="11906" w:h="16838"/>
          <w:pgMar w:top="1418" w:right="1418" w:bottom="1418" w:left="1418" w:header="709" w:footer="709" w:gutter="0"/>
          <w:cols w:space="708"/>
          <w:docGrid w:linePitch="360"/>
        </w:sectPr>
      </w:pPr>
    </w:p>
    <w:p w14:paraId="2818B161" w14:textId="7BC62EEF" w:rsidR="00074BAA" w:rsidRPr="00AB00B0" w:rsidRDefault="00074BAA" w:rsidP="00074BAA">
      <w:pPr>
        <w:rPr>
          <w:rFonts w:cs="Arial"/>
          <w:b/>
          <w:szCs w:val="22"/>
        </w:rPr>
      </w:pPr>
      <w:r w:rsidRPr="00B51604">
        <w:rPr>
          <w:rFonts w:cs="Arial"/>
          <w:b/>
          <w:szCs w:val="22"/>
        </w:rPr>
        <w:lastRenderedPageBreak/>
        <w:t xml:space="preserve">Table </w:t>
      </w:r>
      <w:r w:rsidR="00A65AE0">
        <w:rPr>
          <w:rFonts w:cs="Arial"/>
          <w:b/>
          <w:szCs w:val="22"/>
        </w:rPr>
        <w:t>3</w:t>
      </w:r>
      <w:r w:rsidRPr="00776C8A">
        <w:rPr>
          <w:rFonts w:cs="Arial"/>
          <w:b/>
          <w:szCs w:val="22"/>
        </w:rPr>
        <w:t xml:space="preserve">: The association between galacto-oligosaccharide </w:t>
      </w:r>
      <w:r>
        <w:rPr>
          <w:rFonts w:cs="Arial"/>
          <w:b/>
          <w:szCs w:val="22"/>
        </w:rPr>
        <w:t xml:space="preserve">intake </w:t>
      </w:r>
      <w:r w:rsidRPr="00776C8A">
        <w:rPr>
          <w:rFonts w:cs="Arial"/>
          <w:b/>
          <w:szCs w:val="22"/>
        </w:rPr>
        <w:t>and</w:t>
      </w:r>
      <w:r>
        <w:rPr>
          <w:rFonts w:cs="Arial"/>
          <w:b/>
          <w:szCs w:val="22"/>
        </w:rPr>
        <w:t xml:space="preserve"> blood</w:t>
      </w:r>
      <w:r w:rsidRPr="00776C8A">
        <w:rPr>
          <w:rFonts w:cs="Arial"/>
          <w:b/>
          <w:szCs w:val="22"/>
        </w:rPr>
        <w:t xml:space="preserve"> </w:t>
      </w:r>
      <w:r>
        <w:rPr>
          <w:rFonts w:cs="Arial"/>
          <w:b/>
          <w:szCs w:val="22"/>
        </w:rPr>
        <w:t>total, LDL- and HDL-cholesterol</w:t>
      </w:r>
      <w:r w:rsidRPr="008D35ED">
        <w:rPr>
          <w:rFonts w:cs="Arial"/>
          <w:b/>
          <w:szCs w:val="22"/>
        </w:rPr>
        <w:t>, and triglycerides.</w:t>
      </w:r>
    </w:p>
    <w:tbl>
      <w:tblPr>
        <w:tblStyle w:val="TableGrid"/>
        <w:tblW w:w="16437" w:type="dxa"/>
        <w:tblInd w:w="-1227" w:type="dxa"/>
        <w:tblLayout w:type="fixed"/>
        <w:tblLook w:val="04A0" w:firstRow="1" w:lastRow="0" w:firstColumn="1" w:lastColumn="0" w:noHBand="0" w:noVBand="1"/>
        <w:tblCaption w:val="Table 3 The association between galacto-oligosaccharide intake and blood total, LDL- and HDL-cholesterol, and triglycerides."/>
        <w:tblDescription w:val="Table 3 contains 18 columns. Column 1 reflects the study of interest, by listing the first author and year of publication. Column 2 lists the GOS dose level used in the condition. There are 4 sets of 4 columns remaining, which repeat the same statistics for one of 4 outcomes. The first outcome (columns 3-6) is total cholesterol. The second outcome (columns 7-10) is LDL-cholesterol. The third outcome (columns 11-14) is HDL-cholesterol. The fourth outcome (columns 15-18) is triglycerides. Within these 4 sets, the first column (e.g. column 3) lists the baseline mean and standard deviation or standard error. The second (e.g. column 4) lists the endpoint mean and standard deviation or standard error. The third (e.g. column 5) lists the mean difference and standard error. The fourth (e.g. column 6) lists the P value provided by the authors, for the difference in outcome between placebo and intervention group at follow-up or between placebo and intervention group, over time."/>
      </w:tblPr>
      <w:tblGrid>
        <w:gridCol w:w="988"/>
        <w:gridCol w:w="850"/>
        <w:gridCol w:w="851"/>
        <w:gridCol w:w="850"/>
        <w:gridCol w:w="1134"/>
        <w:gridCol w:w="709"/>
        <w:gridCol w:w="850"/>
        <w:gridCol w:w="993"/>
        <w:gridCol w:w="1134"/>
        <w:gridCol w:w="708"/>
        <w:gridCol w:w="921"/>
        <w:gridCol w:w="921"/>
        <w:gridCol w:w="921"/>
        <w:gridCol w:w="922"/>
        <w:gridCol w:w="921"/>
        <w:gridCol w:w="921"/>
        <w:gridCol w:w="921"/>
        <w:gridCol w:w="922"/>
      </w:tblGrid>
      <w:tr w:rsidR="00074BAA" w:rsidRPr="00AB00B0" w14:paraId="097430AE" w14:textId="77777777" w:rsidTr="00AE37C2">
        <w:trPr>
          <w:trHeight w:val="313"/>
        </w:trPr>
        <w:tc>
          <w:tcPr>
            <w:tcW w:w="988" w:type="dxa"/>
            <w:vMerge w:val="restart"/>
          </w:tcPr>
          <w:p w14:paraId="56598C69" w14:textId="3A94A01D" w:rsidR="007B2879" w:rsidRPr="00AB00B0" w:rsidRDefault="00074BAA" w:rsidP="00B51A27">
            <w:pPr>
              <w:rPr>
                <w:b/>
                <w:sz w:val="18"/>
                <w:szCs w:val="18"/>
              </w:rPr>
            </w:pPr>
            <w:r w:rsidRPr="00AB00B0">
              <w:rPr>
                <w:b/>
                <w:sz w:val="18"/>
                <w:szCs w:val="18"/>
              </w:rPr>
              <w:t>First author (year)</w:t>
            </w:r>
          </w:p>
        </w:tc>
        <w:tc>
          <w:tcPr>
            <w:tcW w:w="850" w:type="dxa"/>
            <w:vMerge w:val="restart"/>
          </w:tcPr>
          <w:p w14:paraId="446C7E7F" w14:textId="457DAE8F" w:rsidR="00074BAA" w:rsidRPr="00AB00B0" w:rsidRDefault="003124E5" w:rsidP="00B51A27">
            <w:pPr>
              <w:rPr>
                <w:b/>
                <w:sz w:val="18"/>
                <w:szCs w:val="18"/>
              </w:rPr>
            </w:pPr>
            <w:r>
              <w:rPr>
                <w:b/>
                <w:sz w:val="18"/>
                <w:szCs w:val="18"/>
              </w:rPr>
              <w:t>GOS intak</w:t>
            </w:r>
            <w:r w:rsidR="00074BAA" w:rsidRPr="00AB00B0">
              <w:rPr>
                <w:b/>
                <w:sz w:val="18"/>
                <w:szCs w:val="18"/>
              </w:rPr>
              <w:t>e level (g/day)</w:t>
            </w:r>
          </w:p>
        </w:tc>
        <w:tc>
          <w:tcPr>
            <w:tcW w:w="3544" w:type="dxa"/>
            <w:gridSpan w:val="4"/>
          </w:tcPr>
          <w:p w14:paraId="113DACA0" w14:textId="77777777" w:rsidR="00074BAA" w:rsidRPr="00067DBD" w:rsidRDefault="00074BAA" w:rsidP="00B51A27">
            <w:pPr>
              <w:rPr>
                <w:b/>
                <w:sz w:val="18"/>
                <w:szCs w:val="18"/>
              </w:rPr>
            </w:pPr>
            <w:r w:rsidRPr="00067DBD">
              <w:rPr>
                <w:b/>
                <w:sz w:val="18"/>
                <w:szCs w:val="18"/>
              </w:rPr>
              <w:t>Total cholesterol (mmol/L)</w:t>
            </w:r>
          </w:p>
        </w:tc>
        <w:tc>
          <w:tcPr>
            <w:tcW w:w="3685" w:type="dxa"/>
            <w:gridSpan w:val="4"/>
          </w:tcPr>
          <w:p w14:paraId="06142B7A" w14:textId="77777777" w:rsidR="00074BAA" w:rsidRPr="00067DBD" w:rsidRDefault="00074BAA" w:rsidP="00B51A27">
            <w:pPr>
              <w:rPr>
                <w:b/>
                <w:sz w:val="18"/>
                <w:szCs w:val="18"/>
              </w:rPr>
            </w:pPr>
            <w:r>
              <w:rPr>
                <w:b/>
                <w:sz w:val="18"/>
                <w:szCs w:val="18"/>
              </w:rPr>
              <w:t>LDL-</w:t>
            </w:r>
            <w:r w:rsidRPr="00067DBD">
              <w:rPr>
                <w:b/>
                <w:sz w:val="18"/>
                <w:szCs w:val="18"/>
              </w:rPr>
              <w:t>cholesterol (mmol/L)</w:t>
            </w:r>
          </w:p>
        </w:tc>
        <w:tc>
          <w:tcPr>
            <w:tcW w:w="3685" w:type="dxa"/>
            <w:gridSpan w:val="4"/>
          </w:tcPr>
          <w:p w14:paraId="4ED4A762" w14:textId="77777777" w:rsidR="00074BAA" w:rsidRDefault="00074BAA" w:rsidP="00B51A27">
            <w:pPr>
              <w:rPr>
                <w:b/>
                <w:sz w:val="18"/>
                <w:szCs w:val="18"/>
              </w:rPr>
            </w:pPr>
            <w:r>
              <w:rPr>
                <w:b/>
                <w:sz w:val="18"/>
                <w:szCs w:val="18"/>
              </w:rPr>
              <w:t>HDL-cholesterol (mmol/L)</w:t>
            </w:r>
          </w:p>
        </w:tc>
        <w:tc>
          <w:tcPr>
            <w:tcW w:w="3685" w:type="dxa"/>
            <w:gridSpan w:val="4"/>
          </w:tcPr>
          <w:p w14:paraId="4F26400E" w14:textId="77777777" w:rsidR="00074BAA" w:rsidRPr="009B1BAC" w:rsidRDefault="00074BAA" w:rsidP="00B51A27">
            <w:pPr>
              <w:rPr>
                <w:b/>
                <w:sz w:val="18"/>
                <w:szCs w:val="18"/>
                <w:vertAlign w:val="superscript"/>
              </w:rPr>
            </w:pPr>
            <w:r>
              <w:rPr>
                <w:b/>
                <w:sz w:val="18"/>
                <w:szCs w:val="18"/>
              </w:rPr>
              <w:t>Triglycerides (mmol/L)</w:t>
            </w:r>
            <w:r>
              <w:rPr>
                <w:b/>
                <w:sz w:val="18"/>
                <w:szCs w:val="18"/>
                <w:vertAlign w:val="superscript"/>
              </w:rPr>
              <w:t>1</w:t>
            </w:r>
          </w:p>
        </w:tc>
      </w:tr>
      <w:tr w:rsidR="00074BAA" w:rsidRPr="00AB00B0" w14:paraId="5754AA95" w14:textId="77777777" w:rsidTr="00AE37C2">
        <w:tc>
          <w:tcPr>
            <w:tcW w:w="988" w:type="dxa"/>
            <w:vMerge/>
          </w:tcPr>
          <w:p w14:paraId="497C43A6" w14:textId="77777777" w:rsidR="00074BAA" w:rsidRPr="00AB00B0" w:rsidRDefault="00074BAA" w:rsidP="00B51A27">
            <w:pPr>
              <w:rPr>
                <w:b/>
                <w:sz w:val="18"/>
                <w:szCs w:val="18"/>
              </w:rPr>
            </w:pPr>
          </w:p>
        </w:tc>
        <w:tc>
          <w:tcPr>
            <w:tcW w:w="850" w:type="dxa"/>
            <w:vMerge/>
          </w:tcPr>
          <w:p w14:paraId="3F3C193D" w14:textId="77777777" w:rsidR="00074BAA" w:rsidRPr="00AB00B0" w:rsidRDefault="00074BAA" w:rsidP="00B51A27">
            <w:pPr>
              <w:rPr>
                <w:b/>
                <w:sz w:val="18"/>
                <w:szCs w:val="18"/>
              </w:rPr>
            </w:pPr>
          </w:p>
        </w:tc>
        <w:tc>
          <w:tcPr>
            <w:tcW w:w="851" w:type="dxa"/>
          </w:tcPr>
          <w:p w14:paraId="7FA0FC24" w14:textId="77777777" w:rsidR="00074BAA" w:rsidRPr="00E44B71" w:rsidRDefault="00074BAA" w:rsidP="00B51A27">
            <w:pPr>
              <w:rPr>
                <w:b/>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sidRPr="00E44B71">
              <w:rPr>
                <w:b/>
                <w:sz w:val="18"/>
                <w:szCs w:val="18"/>
              </w:rPr>
              <w:t>)</w:t>
            </w:r>
            <w:r>
              <w:rPr>
                <w:b/>
                <w:sz w:val="18"/>
                <w:szCs w:val="18"/>
                <w:vertAlign w:val="superscript"/>
              </w:rPr>
              <w:t>2</w:t>
            </w:r>
          </w:p>
        </w:tc>
        <w:tc>
          <w:tcPr>
            <w:tcW w:w="850" w:type="dxa"/>
          </w:tcPr>
          <w:p w14:paraId="5DF6001D" w14:textId="6FAD17E5" w:rsidR="00074BAA" w:rsidRPr="0040116E" w:rsidRDefault="00B92662" w:rsidP="00B51A27">
            <w:pPr>
              <w:rPr>
                <w:b/>
                <w:strike/>
                <w:sz w:val="18"/>
                <w:szCs w:val="18"/>
                <w:vertAlign w:val="superscript"/>
              </w:rPr>
            </w:pPr>
            <w:r>
              <w:rPr>
                <w:b/>
                <w:sz w:val="18"/>
                <w:szCs w:val="18"/>
              </w:rPr>
              <w:t>Follow-up</w:t>
            </w:r>
            <w:r w:rsidR="00074BAA" w:rsidRPr="00E44B71">
              <w:rPr>
                <w:b/>
                <w:sz w:val="18"/>
                <w:szCs w:val="18"/>
              </w:rPr>
              <w:t xml:space="preserve"> (mean </w:t>
            </w:r>
            <w:r w:rsidR="00074BAA" w:rsidRPr="00E44B71">
              <w:rPr>
                <w:rFonts w:cs="Arial"/>
                <w:b/>
                <w:sz w:val="18"/>
                <w:szCs w:val="18"/>
              </w:rPr>
              <w:t xml:space="preserve">± </w:t>
            </w:r>
            <w:r w:rsidR="00074BAA" w:rsidRPr="00E44B71">
              <w:rPr>
                <w:b/>
                <w:sz w:val="18"/>
                <w:szCs w:val="18"/>
              </w:rPr>
              <w:t xml:space="preserve">SD or </w:t>
            </w:r>
            <w:r w:rsidR="00074BAA">
              <w:rPr>
                <w:b/>
                <w:sz w:val="18"/>
                <w:szCs w:val="18"/>
              </w:rPr>
              <w:t>SE</w:t>
            </w:r>
            <w:r w:rsidR="00074BAA" w:rsidRPr="00FA492E">
              <w:rPr>
                <w:b/>
                <w:sz w:val="18"/>
                <w:szCs w:val="18"/>
                <w:vertAlign w:val="superscript"/>
              </w:rPr>
              <w:t>2</w:t>
            </w:r>
            <w:r w:rsidR="00074BAA" w:rsidRPr="00FA492E">
              <w:rPr>
                <w:b/>
                <w:sz w:val="18"/>
                <w:szCs w:val="18"/>
              </w:rPr>
              <w:t>)</w:t>
            </w:r>
            <w:r w:rsidR="00074BAA" w:rsidRPr="00FA492E">
              <w:rPr>
                <w:b/>
                <w:sz w:val="18"/>
                <w:szCs w:val="18"/>
                <w:vertAlign w:val="superscript"/>
              </w:rPr>
              <w:t>3</w:t>
            </w:r>
          </w:p>
        </w:tc>
        <w:tc>
          <w:tcPr>
            <w:tcW w:w="1134" w:type="dxa"/>
          </w:tcPr>
          <w:p w14:paraId="416F4F4C" w14:textId="77777777" w:rsidR="00074BAA" w:rsidRPr="0040116E" w:rsidRDefault="00074BAA" w:rsidP="00B51A27">
            <w:pPr>
              <w:rPr>
                <w:b/>
                <w:strike/>
                <w:sz w:val="18"/>
                <w:szCs w:val="18"/>
              </w:rPr>
            </w:pPr>
            <w:r>
              <w:rPr>
                <w:b/>
                <w:sz w:val="18"/>
                <w:szCs w:val="18"/>
              </w:rPr>
              <w:t>Mean difference</w:t>
            </w:r>
            <w:r w:rsidRPr="00C61E1B">
              <w:rPr>
                <w:b/>
                <w:sz w:val="18"/>
                <w:szCs w:val="18"/>
                <w:vertAlign w:val="superscript"/>
              </w:rPr>
              <w:t>4</w:t>
            </w:r>
            <w:r w:rsidRPr="00C61E1B">
              <w:rPr>
                <w:b/>
                <w:sz w:val="18"/>
                <w:szCs w:val="18"/>
              </w:rPr>
              <w:t xml:space="preserve"> </w:t>
            </w:r>
            <w:r w:rsidRPr="00C61E1B">
              <w:rPr>
                <w:rFonts w:cs="Arial"/>
                <w:b/>
                <w:sz w:val="18"/>
                <w:szCs w:val="18"/>
              </w:rPr>
              <w:t xml:space="preserve">± </w:t>
            </w:r>
            <w:r>
              <w:rPr>
                <w:b/>
                <w:sz w:val="18"/>
                <w:szCs w:val="18"/>
              </w:rPr>
              <w:t>SE</w:t>
            </w:r>
            <w:r w:rsidRPr="00C61E1B">
              <w:rPr>
                <w:b/>
                <w:sz w:val="18"/>
                <w:szCs w:val="18"/>
                <w:vertAlign w:val="superscript"/>
              </w:rPr>
              <w:t>5</w:t>
            </w:r>
          </w:p>
        </w:tc>
        <w:tc>
          <w:tcPr>
            <w:tcW w:w="709" w:type="dxa"/>
          </w:tcPr>
          <w:p w14:paraId="6641ECA0" w14:textId="77777777" w:rsidR="00074BAA" w:rsidRPr="00AB00B0" w:rsidRDefault="00074BAA" w:rsidP="00B51A27">
            <w:pPr>
              <w:rPr>
                <w:b/>
                <w:sz w:val="18"/>
                <w:szCs w:val="18"/>
                <w:vertAlign w:val="superscript"/>
              </w:rPr>
            </w:pPr>
            <w:r w:rsidRPr="00AB00B0">
              <w:rPr>
                <w:b/>
                <w:i/>
                <w:sz w:val="18"/>
                <w:szCs w:val="18"/>
              </w:rPr>
              <w:t>P</w:t>
            </w:r>
            <w:r>
              <w:rPr>
                <w:b/>
                <w:sz w:val="18"/>
                <w:szCs w:val="18"/>
                <w:vertAlign w:val="superscript"/>
              </w:rPr>
              <w:t>6</w:t>
            </w:r>
          </w:p>
        </w:tc>
        <w:tc>
          <w:tcPr>
            <w:tcW w:w="850" w:type="dxa"/>
          </w:tcPr>
          <w:p w14:paraId="0A1FA40C" w14:textId="77777777" w:rsidR="00074BAA" w:rsidRPr="00E44B71" w:rsidRDefault="00074BAA" w:rsidP="00B51A27">
            <w:pPr>
              <w:rPr>
                <w:b/>
                <w:i/>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sidRPr="00E44B71">
              <w:rPr>
                <w:b/>
                <w:sz w:val="18"/>
                <w:szCs w:val="18"/>
              </w:rPr>
              <w:t>)</w:t>
            </w:r>
            <w:r>
              <w:rPr>
                <w:b/>
                <w:sz w:val="18"/>
                <w:szCs w:val="18"/>
                <w:vertAlign w:val="superscript"/>
              </w:rPr>
              <w:t>2</w:t>
            </w:r>
          </w:p>
        </w:tc>
        <w:tc>
          <w:tcPr>
            <w:tcW w:w="993" w:type="dxa"/>
          </w:tcPr>
          <w:p w14:paraId="7AE525BD" w14:textId="04662F12" w:rsidR="00074BAA" w:rsidRPr="00C61E1B" w:rsidRDefault="00B92662" w:rsidP="00B51A27">
            <w:pPr>
              <w:rPr>
                <w:b/>
                <w:i/>
                <w:sz w:val="18"/>
                <w:szCs w:val="18"/>
              </w:rPr>
            </w:pPr>
            <w:r>
              <w:rPr>
                <w:b/>
                <w:sz w:val="18"/>
                <w:szCs w:val="18"/>
              </w:rPr>
              <w:t>Follow-up</w:t>
            </w:r>
            <w:r w:rsidR="00074BAA" w:rsidRPr="00C61E1B">
              <w:rPr>
                <w:b/>
                <w:sz w:val="18"/>
                <w:szCs w:val="18"/>
              </w:rPr>
              <w:t xml:space="preserve"> (mean </w:t>
            </w:r>
            <w:r w:rsidR="00074BAA" w:rsidRPr="00C61E1B">
              <w:rPr>
                <w:rFonts w:cs="Arial"/>
                <w:b/>
                <w:sz w:val="18"/>
                <w:szCs w:val="18"/>
              </w:rPr>
              <w:t xml:space="preserve">± </w:t>
            </w:r>
            <w:r w:rsidR="00074BAA" w:rsidRPr="00C61E1B">
              <w:rPr>
                <w:b/>
                <w:sz w:val="18"/>
                <w:szCs w:val="18"/>
              </w:rPr>
              <w:t xml:space="preserve">SD or </w:t>
            </w:r>
            <w:r w:rsidR="00074BAA">
              <w:rPr>
                <w:b/>
                <w:sz w:val="18"/>
                <w:szCs w:val="18"/>
              </w:rPr>
              <w:t>SE</w:t>
            </w:r>
            <w:r w:rsidR="00074BAA" w:rsidRPr="00C61E1B">
              <w:rPr>
                <w:b/>
                <w:sz w:val="18"/>
                <w:szCs w:val="18"/>
                <w:vertAlign w:val="superscript"/>
              </w:rPr>
              <w:t>2</w:t>
            </w:r>
            <w:r w:rsidR="00074BAA" w:rsidRPr="00C61E1B">
              <w:rPr>
                <w:b/>
                <w:sz w:val="18"/>
                <w:szCs w:val="18"/>
              </w:rPr>
              <w:t>)</w:t>
            </w:r>
            <w:r w:rsidR="00074BAA" w:rsidRPr="00C61E1B">
              <w:rPr>
                <w:b/>
                <w:sz w:val="18"/>
                <w:szCs w:val="18"/>
                <w:vertAlign w:val="superscript"/>
              </w:rPr>
              <w:t>3</w:t>
            </w:r>
          </w:p>
        </w:tc>
        <w:tc>
          <w:tcPr>
            <w:tcW w:w="1134" w:type="dxa"/>
          </w:tcPr>
          <w:p w14:paraId="43E5CB81" w14:textId="77777777" w:rsidR="00074BAA" w:rsidRPr="00AB00B0" w:rsidRDefault="00074BAA" w:rsidP="00B51A27">
            <w:pPr>
              <w:rPr>
                <w:b/>
                <w:i/>
                <w:sz w:val="18"/>
                <w:szCs w:val="18"/>
              </w:rPr>
            </w:pPr>
            <w:r>
              <w:rPr>
                <w:b/>
                <w:sz w:val="18"/>
                <w:szCs w:val="18"/>
              </w:rPr>
              <w:t>Mean difference</w:t>
            </w:r>
            <w:r w:rsidRPr="00C61E1B">
              <w:rPr>
                <w:b/>
                <w:sz w:val="18"/>
                <w:szCs w:val="18"/>
                <w:vertAlign w:val="superscript"/>
              </w:rPr>
              <w:t>4</w:t>
            </w:r>
            <w:r w:rsidRPr="00C61E1B">
              <w:rPr>
                <w:b/>
                <w:sz w:val="18"/>
                <w:szCs w:val="18"/>
              </w:rPr>
              <w:t xml:space="preserve"> </w:t>
            </w:r>
            <w:r w:rsidRPr="00C61E1B">
              <w:rPr>
                <w:rFonts w:cs="Arial"/>
                <w:b/>
                <w:sz w:val="18"/>
                <w:szCs w:val="18"/>
              </w:rPr>
              <w:t xml:space="preserve">± </w:t>
            </w:r>
            <w:r>
              <w:rPr>
                <w:b/>
                <w:sz w:val="18"/>
                <w:szCs w:val="18"/>
              </w:rPr>
              <w:t>SE</w:t>
            </w:r>
            <w:r w:rsidRPr="00C61E1B">
              <w:rPr>
                <w:b/>
                <w:sz w:val="18"/>
                <w:szCs w:val="18"/>
                <w:vertAlign w:val="superscript"/>
              </w:rPr>
              <w:t>5</w:t>
            </w:r>
          </w:p>
        </w:tc>
        <w:tc>
          <w:tcPr>
            <w:tcW w:w="708" w:type="dxa"/>
          </w:tcPr>
          <w:p w14:paraId="61BCF9D7" w14:textId="77777777" w:rsidR="00074BAA" w:rsidRPr="00AB00B0" w:rsidRDefault="00074BAA" w:rsidP="00B51A27">
            <w:pPr>
              <w:rPr>
                <w:b/>
                <w:i/>
                <w:sz w:val="18"/>
                <w:szCs w:val="18"/>
              </w:rPr>
            </w:pPr>
            <w:r w:rsidRPr="00AB00B0">
              <w:rPr>
                <w:b/>
                <w:i/>
                <w:sz w:val="18"/>
                <w:szCs w:val="18"/>
              </w:rPr>
              <w:t>P</w:t>
            </w:r>
            <w:r>
              <w:rPr>
                <w:b/>
                <w:sz w:val="18"/>
                <w:szCs w:val="18"/>
                <w:vertAlign w:val="superscript"/>
              </w:rPr>
              <w:t>6</w:t>
            </w:r>
          </w:p>
        </w:tc>
        <w:tc>
          <w:tcPr>
            <w:tcW w:w="921" w:type="dxa"/>
          </w:tcPr>
          <w:p w14:paraId="29C98F1D" w14:textId="77777777" w:rsidR="00074BAA" w:rsidRPr="00AB00B0" w:rsidRDefault="00074BAA" w:rsidP="00B51A27">
            <w:pPr>
              <w:rPr>
                <w:b/>
                <w:i/>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sidRPr="00E44B71">
              <w:rPr>
                <w:b/>
                <w:sz w:val="18"/>
                <w:szCs w:val="18"/>
              </w:rPr>
              <w:t>)</w:t>
            </w:r>
            <w:r>
              <w:rPr>
                <w:b/>
                <w:sz w:val="18"/>
                <w:szCs w:val="18"/>
                <w:vertAlign w:val="superscript"/>
              </w:rPr>
              <w:t>2</w:t>
            </w:r>
          </w:p>
        </w:tc>
        <w:tc>
          <w:tcPr>
            <w:tcW w:w="921" w:type="dxa"/>
          </w:tcPr>
          <w:p w14:paraId="3484157E" w14:textId="569CD734" w:rsidR="00074BAA" w:rsidRPr="00AB00B0" w:rsidRDefault="00B92662" w:rsidP="00B51A27">
            <w:pPr>
              <w:rPr>
                <w:b/>
                <w:i/>
                <w:sz w:val="18"/>
                <w:szCs w:val="18"/>
              </w:rPr>
            </w:pPr>
            <w:r>
              <w:rPr>
                <w:b/>
                <w:sz w:val="18"/>
                <w:szCs w:val="18"/>
              </w:rPr>
              <w:t>Follow-up</w:t>
            </w:r>
            <w:r w:rsidR="00074BAA" w:rsidRPr="00C61E1B">
              <w:rPr>
                <w:b/>
                <w:sz w:val="18"/>
                <w:szCs w:val="18"/>
              </w:rPr>
              <w:t xml:space="preserve"> (mean </w:t>
            </w:r>
            <w:r w:rsidR="00074BAA" w:rsidRPr="00C61E1B">
              <w:rPr>
                <w:rFonts w:cs="Arial"/>
                <w:b/>
                <w:sz w:val="18"/>
                <w:szCs w:val="18"/>
              </w:rPr>
              <w:t xml:space="preserve">± </w:t>
            </w:r>
            <w:r w:rsidR="00074BAA" w:rsidRPr="00C61E1B">
              <w:rPr>
                <w:b/>
                <w:sz w:val="18"/>
                <w:szCs w:val="18"/>
              </w:rPr>
              <w:t xml:space="preserve">SD or </w:t>
            </w:r>
            <w:r w:rsidR="00074BAA">
              <w:rPr>
                <w:b/>
                <w:sz w:val="18"/>
                <w:szCs w:val="18"/>
              </w:rPr>
              <w:t>SE</w:t>
            </w:r>
            <w:r w:rsidR="00074BAA" w:rsidRPr="00C61E1B">
              <w:rPr>
                <w:b/>
                <w:sz w:val="18"/>
                <w:szCs w:val="18"/>
                <w:vertAlign w:val="superscript"/>
              </w:rPr>
              <w:t>2</w:t>
            </w:r>
            <w:r w:rsidR="00074BAA" w:rsidRPr="00C61E1B">
              <w:rPr>
                <w:b/>
                <w:sz w:val="18"/>
                <w:szCs w:val="18"/>
              </w:rPr>
              <w:t>)</w:t>
            </w:r>
            <w:r w:rsidR="00074BAA" w:rsidRPr="00C61E1B">
              <w:rPr>
                <w:b/>
                <w:sz w:val="18"/>
                <w:szCs w:val="18"/>
                <w:vertAlign w:val="superscript"/>
              </w:rPr>
              <w:t>3</w:t>
            </w:r>
          </w:p>
        </w:tc>
        <w:tc>
          <w:tcPr>
            <w:tcW w:w="921" w:type="dxa"/>
          </w:tcPr>
          <w:p w14:paraId="4A3940F7" w14:textId="77777777" w:rsidR="00074BAA" w:rsidRPr="00AB00B0" w:rsidRDefault="00074BAA" w:rsidP="00B51A27">
            <w:pPr>
              <w:rPr>
                <w:b/>
                <w:i/>
                <w:sz w:val="18"/>
                <w:szCs w:val="18"/>
              </w:rPr>
            </w:pPr>
            <w:r>
              <w:rPr>
                <w:b/>
                <w:sz w:val="18"/>
                <w:szCs w:val="18"/>
              </w:rPr>
              <w:t>Mean difference</w:t>
            </w:r>
            <w:r w:rsidRPr="00C61E1B">
              <w:rPr>
                <w:b/>
                <w:sz w:val="18"/>
                <w:szCs w:val="18"/>
                <w:vertAlign w:val="superscript"/>
              </w:rPr>
              <w:t>4</w:t>
            </w:r>
            <w:r w:rsidRPr="00C61E1B">
              <w:rPr>
                <w:b/>
                <w:sz w:val="18"/>
                <w:szCs w:val="18"/>
              </w:rPr>
              <w:t xml:space="preserve"> </w:t>
            </w:r>
            <w:r w:rsidRPr="00C61E1B">
              <w:rPr>
                <w:rFonts w:cs="Arial"/>
                <w:b/>
                <w:sz w:val="18"/>
                <w:szCs w:val="18"/>
              </w:rPr>
              <w:t xml:space="preserve">± </w:t>
            </w:r>
            <w:r>
              <w:rPr>
                <w:b/>
                <w:sz w:val="18"/>
                <w:szCs w:val="18"/>
              </w:rPr>
              <w:t>SE</w:t>
            </w:r>
            <w:r w:rsidRPr="00C61E1B">
              <w:rPr>
                <w:b/>
                <w:sz w:val="18"/>
                <w:szCs w:val="18"/>
                <w:vertAlign w:val="superscript"/>
              </w:rPr>
              <w:t>5</w:t>
            </w:r>
          </w:p>
        </w:tc>
        <w:tc>
          <w:tcPr>
            <w:tcW w:w="922" w:type="dxa"/>
          </w:tcPr>
          <w:p w14:paraId="117E146E" w14:textId="77777777" w:rsidR="00074BAA" w:rsidRPr="00AB00B0" w:rsidRDefault="00074BAA" w:rsidP="00B51A27">
            <w:pPr>
              <w:rPr>
                <w:b/>
                <w:i/>
                <w:sz w:val="18"/>
                <w:szCs w:val="18"/>
              </w:rPr>
            </w:pPr>
            <w:r w:rsidRPr="00AB00B0">
              <w:rPr>
                <w:b/>
                <w:i/>
                <w:sz w:val="18"/>
                <w:szCs w:val="18"/>
              </w:rPr>
              <w:t>P</w:t>
            </w:r>
            <w:r>
              <w:rPr>
                <w:b/>
                <w:sz w:val="18"/>
                <w:szCs w:val="18"/>
                <w:vertAlign w:val="superscript"/>
              </w:rPr>
              <w:t>6</w:t>
            </w:r>
          </w:p>
        </w:tc>
        <w:tc>
          <w:tcPr>
            <w:tcW w:w="921" w:type="dxa"/>
          </w:tcPr>
          <w:p w14:paraId="2CE28B7D" w14:textId="77777777" w:rsidR="00074BAA" w:rsidRDefault="00074BAA" w:rsidP="00B51A27">
            <w:pPr>
              <w:rPr>
                <w:b/>
                <w:i/>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sidRPr="00E44B71">
              <w:rPr>
                <w:b/>
                <w:sz w:val="18"/>
                <w:szCs w:val="18"/>
              </w:rPr>
              <w:t>)</w:t>
            </w:r>
            <w:r>
              <w:rPr>
                <w:b/>
                <w:sz w:val="18"/>
                <w:szCs w:val="18"/>
                <w:vertAlign w:val="superscript"/>
              </w:rPr>
              <w:t>2</w:t>
            </w:r>
          </w:p>
        </w:tc>
        <w:tc>
          <w:tcPr>
            <w:tcW w:w="921" w:type="dxa"/>
          </w:tcPr>
          <w:p w14:paraId="0A0E17D9" w14:textId="66ECB4DF" w:rsidR="00074BAA" w:rsidRDefault="00B92662" w:rsidP="00B51A27">
            <w:pPr>
              <w:rPr>
                <w:b/>
                <w:i/>
                <w:sz w:val="18"/>
                <w:szCs w:val="18"/>
              </w:rPr>
            </w:pPr>
            <w:r>
              <w:rPr>
                <w:b/>
                <w:sz w:val="18"/>
                <w:szCs w:val="18"/>
              </w:rPr>
              <w:t>Follow-up</w:t>
            </w:r>
            <w:r w:rsidR="00074BAA" w:rsidRPr="00C61E1B">
              <w:rPr>
                <w:b/>
                <w:sz w:val="18"/>
                <w:szCs w:val="18"/>
              </w:rPr>
              <w:t xml:space="preserve"> (mean </w:t>
            </w:r>
            <w:r w:rsidR="00074BAA" w:rsidRPr="00C61E1B">
              <w:rPr>
                <w:rFonts w:cs="Arial"/>
                <w:b/>
                <w:sz w:val="18"/>
                <w:szCs w:val="18"/>
              </w:rPr>
              <w:t xml:space="preserve">± </w:t>
            </w:r>
            <w:r w:rsidR="00074BAA" w:rsidRPr="00C61E1B">
              <w:rPr>
                <w:b/>
                <w:sz w:val="18"/>
                <w:szCs w:val="18"/>
              </w:rPr>
              <w:t xml:space="preserve">SD or </w:t>
            </w:r>
            <w:r w:rsidR="00074BAA">
              <w:rPr>
                <w:b/>
                <w:sz w:val="18"/>
                <w:szCs w:val="18"/>
              </w:rPr>
              <w:t>SE</w:t>
            </w:r>
            <w:r w:rsidR="00074BAA" w:rsidRPr="00C61E1B">
              <w:rPr>
                <w:b/>
                <w:sz w:val="18"/>
                <w:szCs w:val="18"/>
                <w:vertAlign w:val="superscript"/>
              </w:rPr>
              <w:t>2</w:t>
            </w:r>
            <w:r w:rsidR="00074BAA" w:rsidRPr="00C61E1B">
              <w:rPr>
                <w:b/>
                <w:sz w:val="18"/>
                <w:szCs w:val="18"/>
              </w:rPr>
              <w:t>)</w:t>
            </w:r>
            <w:r w:rsidR="00074BAA" w:rsidRPr="00C61E1B">
              <w:rPr>
                <w:b/>
                <w:sz w:val="18"/>
                <w:szCs w:val="18"/>
                <w:vertAlign w:val="superscript"/>
              </w:rPr>
              <w:t>3</w:t>
            </w:r>
          </w:p>
        </w:tc>
        <w:tc>
          <w:tcPr>
            <w:tcW w:w="921" w:type="dxa"/>
          </w:tcPr>
          <w:p w14:paraId="59B5A6B7" w14:textId="77777777" w:rsidR="00074BAA" w:rsidRDefault="00074BAA" w:rsidP="00B51A27">
            <w:pPr>
              <w:rPr>
                <w:b/>
                <w:i/>
                <w:sz w:val="18"/>
                <w:szCs w:val="18"/>
              </w:rPr>
            </w:pPr>
            <w:r>
              <w:rPr>
                <w:b/>
                <w:sz w:val="18"/>
                <w:szCs w:val="18"/>
              </w:rPr>
              <w:t>Mean difference</w:t>
            </w:r>
            <w:r w:rsidRPr="00C61E1B">
              <w:rPr>
                <w:b/>
                <w:sz w:val="18"/>
                <w:szCs w:val="18"/>
                <w:vertAlign w:val="superscript"/>
              </w:rPr>
              <w:t>4</w:t>
            </w:r>
            <w:r w:rsidRPr="00C61E1B">
              <w:rPr>
                <w:b/>
                <w:sz w:val="18"/>
                <w:szCs w:val="18"/>
              </w:rPr>
              <w:t xml:space="preserve"> </w:t>
            </w:r>
            <w:r w:rsidRPr="00C61E1B">
              <w:rPr>
                <w:rFonts w:cs="Arial"/>
                <w:b/>
                <w:sz w:val="18"/>
                <w:szCs w:val="18"/>
              </w:rPr>
              <w:t xml:space="preserve">± </w:t>
            </w:r>
            <w:r>
              <w:rPr>
                <w:b/>
                <w:sz w:val="18"/>
                <w:szCs w:val="18"/>
              </w:rPr>
              <w:t>SE</w:t>
            </w:r>
            <w:r w:rsidRPr="00C61E1B">
              <w:rPr>
                <w:b/>
                <w:sz w:val="18"/>
                <w:szCs w:val="18"/>
                <w:vertAlign w:val="superscript"/>
              </w:rPr>
              <w:t>5</w:t>
            </w:r>
          </w:p>
        </w:tc>
        <w:tc>
          <w:tcPr>
            <w:tcW w:w="922" w:type="dxa"/>
          </w:tcPr>
          <w:p w14:paraId="28C98DE1" w14:textId="77777777" w:rsidR="00074BAA" w:rsidRDefault="00074BAA" w:rsidP="00B51A27">
            <w:pPr>
              <w:rPr>
                <w:b/>
                <w:i/>
                <w:sz w:val="18"/>
                <w:szCs w:val="18"/>
              </w:rPr>
            </w:pPr>
            <w:r w:rsidRPr="00AB00B0">
              <w:rPr>
                <w:b/>
                <w:i/>
                <w:sz w:val="18"/>
                <w:szCs w:val="18"/>
              </w:rPr>
              <w:t>P</w:t>
            </w:r>
            <w:r>
              <w:rPr>
                <w:b/>
                <w:sz w:val="18"/>
                <w:szCs w:val="18"/>
                <w:vertAlign w:val="superscript"/>
              </w:rPr>
              <w:t>6</w:t>
            </w:r>
          </w:p>
        </w:tc>
      </w:tr>
      <w:tr w:rsidR="00074BAA" w:rsidRPr="00AB00B0" w14:paraId="016EC81D" w14:textId="77777777" w:rsidTr="00AE37C2">
        <w:tc>
          <w:tcPr>
            <w:tcW w:w="988" w:type="dxa"/>
            <w:vMerge w:val="restart"/>
          </w:tcPr>
          <w:p w14:paraId="6620F8A8" w14:textId="77777777" w:rsidR="00074BAA" w:rsidRPr="0040116E" w:rsidRDefault="00074BAA" w:rsidP="00B51A27">
            <w:pPr>
              <w:rPr>
                <w:sz w:val="18"/>
                <w:szCs w:val="18"/>
              </w:rPr>
            </w:pPr>
            <w:r w:rsidRPr="0040116E">
              <w:rPr>
                <w:sz w:val="18"/>
                <w:szCs w:val="18"/>
              </w:rPr>
              <w:t>van Dokkum (1999)</w:t>
            </w:r>
          </w:p>
          <w:p w14:paraId="19F03FC4" w14:textId="77777777" w:rsidR="00074BAA" w:rsidRPr="0040116E" w:rsidRDefault="00074BAA" w:rsidP="00B51A27">
            <w:pPr>
              <w:rPr>
                <w:sz w:val="18"/>
                <w:szCs w:val="18"/>
              </w:rPr>
            </w:pPr>
          </w:p>
        </w:tc>
        <w:tc>
          <w:tcPr>
            <w:tcW w:w="850" w:type="dxa"/>
          </w:tcPr>
          <w:p w14:paraId="30CB09E9" w14:textId="77777777" w:rsidR="00074BAA" w:rsidRPr="0040116E" w:rsidRDefault="00074BAA" w:rsidP="00B51A27">
            <w:pPr>
              <w:rPr>
                <w:sz w:val="18"/>
                <w:szCs w:val="18"/>
              </w:rPr>
            </w:pPr>
            <w:r w:rsidRPr="0040116E">
              <w:rPr>
                <w:sz w:val="18"/>
                <w:szCs w:val="18"/>
              </w:rPr>
              <w:t>0.0</w:t>
            </w:r>
          </w:p>
        </w:tc>
        <w:tc>
          <w:tcPr>
            <w:tcW w:w="851" w:type="dxa"/>
          </w:tcPr>
          <w:p w14:paraId="784802F6" w14:textId="77777777" w:rsidR="00074BAA" w:rsidRPr="0040116E" w:rsidRDefault="00074BAA" w:rsidP="00B51A27">
            <w:pPr>
              <w:rPr>
                <w:sz w:val="18"/>
                <w:szCs w:val="18"/>
              </w:rPr>
            </w:pPr>
            <w:r w:rsidRPr="0040116E">
              <w:rPr>
                <w:sz w:val="18"/>
                <w:szCs w:val="18"/>
              </w:rPr>
              <w:t>n/a</w:t>
            </w:r>
          </w:p>
        </w:tc>
        <w:tc>
          <w:tcPr>
            <w:tcW w:w="850" w:type="dxa"/>
          </w:tcPr>
          <w:p w14:paraId="7DA696F7" w14:textId="77777777" w:rsidR="00074BAA" w:rsidRPr="0040116E" w:rsidRDefault="00074BAA" w:rsidP="00B51A27">
            <w:pPr>
              <w:rPr>
                <w:sz w:val="18"/>
                <w:szCs w:val="18"/>
              </w:rPr>
            </w:pPr>
            <w:r w:rsidRPr="00E44B71">
              <w:rPr>
                <w:sz w:val="18"/>
                <w:szCs w:val="18"/>
              </w:rPr>
              <w:t>4.56</w:t>
            </w:r>
            <w:r>
              <w:rPr>
                <w:sz w:val="18"/>
                <w:szCs w:val="18"/>
              </w:rPr>
              <w:t xml:space="preserve"> </w:t>
            </w:r>
            <w:r w:rsidRPr="00AB00B0">
              <w:rPr>
                <w:rFonts w:cs="Arial"/>
                <w:sz w:val="18"/>
                <w:szCs w:val="18"/>
              </w:rPr>
              <w:t>±</w:t>
            </w:r>
            <w:r>
              <w:rPr>
                <w:rFonts w:cs="Arial"/>
                <w:sz w:val="18"/>
                <w:szCs w:val="18"/>
              </w:rPr>
              <w:t xml:space="preserve"> </w:t>
            </w:r>
            <w:r w:rsidRPr="00E44B71">
              <w:rPr>
                <w:sz w:val="18"/>
                <w:szCs w:val="18"/>
              </w:rPr>
              <w:t>0.62</w:t>
            </w:r>
          </w:p>
        </w:tc>
        <w:tc>
          <w:tcPr>
            <w:tcW w:w="1134" w:type="dxa"/>
          </w:tcPr>
          <w:p w14:paraId="7AFA8ED1" w14:textId="77777777" w:rsidR="00074BAA" w:rsidRPr="0040116E" w:rsidRDefault="00074BAA" w:rsidP="00B51A27">
            <w:pPr>
              <w:rPr>
                <w:sz w:val="18"/>
                <w:szCs w:val="18"/>
              </w:rPr>
            </w:pPr>
            <w:r w:rsidRPr="0040116E">
              <w:rPr>
                <w:sz w:val="18"/>
                <w:szCs w:val="18"/>
              </w:rPr>
              <w:t>n/a</w:t>
            </w:r>
          </w:p>
        </w:tc>
        <w:tc>
          <w:tcPr>
            <w:tcW w:w="709" w:type="dxa"/>
          </w:tcPr>
          <w:p w14:paraId="7945E953" w14:textId="77777777" w:rsidR="00074BAA" w:rsidRPr="0040116E" w:rsidRDefault="00074BAA" w:rsidP="00B51A27">
            <w:pPr>
              <w:rPr>
                <w:sz w:val="18"/>
                <w:szCs w:val="18"/>
              </w:rPr>
            </w:pPr>
            <w:r w:rsidRPr="0040116E">
              <w:rPr>
                <w:sz w:val="18"/>
                <w:szCs w:val="18"/>
              </w:rPr>
              <w:t>n/a</w:t>
            </w:r>
          </w:p>
        </w:tc>
        <w:tc>
          <w:tcPr>
            <w:tcW w:w="850" w:type="dxa"/>
          </w:tcPr>
          <w:p w14:paraId="0A1509AB" w14:textId="77777777" w:rsidR="00074BAA" w:rsidRPr="0040116E" w:rsidRDefault="00074BAA" w:rsidP="00B51A27">
            <w:pPr>
              <w:rPr>
                <w:sz w:val="18"/>
                <w:szCs w:val="18"/>
              </w:rPr>
            </w:pPr>
            <w:r w:rsidRPr="0040116E">
              <w:rPr>
                <w:sz w:val="18"/>
                <w:szCs w:val="18"/>
              </w:rPr>
              <w:t>n/a</w:t>
            </w:r>
          </w:p>
        </w:tc>
        <w:tc>
          <w:tcPr>
            <w:tcW w:w="993" w:type="dxa"/>
          </w:tcPr>
          <w:p w14:paraId="6420A9FA" w14:textId="77777777" w:rsidR="00074BAA" w:rsidRPr="0040116E" w:rsidRDefault="00074BAA" w:rsidP="00B51A27">
            <w:pPr>
              <w:rPr>
                <w:sz w:val="18"/>
                <w:szCs w:val="18"/>
              </w:rPr>
            </w:pPr>
            <w:r w:rsidRPr="00F50DFE">
              <w:rPr>
                <w:sz w:val="18"/>
                <w:szCs w:val="18"/>
              </w:rPr>
              <w:t>2.82</w:t>
            </w:r>
            <w:r>
              <w:rPr>
                <w:sz w:val="18"/>
                <w:szCs w:val="18"/>
              </w:rPr>
              <w:t xml:space="preserve"> </w:t>
            </w:r>
            <w:r w:rsidRPr="00AB00B0">
              <w:rPr>
                <w:rFonts w:cs="Arial"/>
                <w:sz w:val="18"/>
                <w:szCs w:val="18"/>
              </w:rPr>
              <w:t>±</w:t>
            </w:r>
            <w:r>
              <w:rPr>
                <w:rFonts w:cs="Arial"/>
                <w:sz w:val="18"/>
                <w:szCs w:val="18"/>
              </w:rPr>
              <w:t xml:space="preserve"> </w:t>
            </w:r>
            <w:r w:rsidRPr="00F50DFE">
              <w:rPr>
                <w:sz w:val="18"/>
                <w:szCs w:val="18"/>
              </w:rPr>
              <w:t>0.51</w:t>
            </w:r>
          </w:p>
        </w:tc>
        <w:tc>
          <w:tcPr>
            <w:tcW w:w="1134" w:type="dxa"/>
          </w:tcPr>
          <w:p w14:paraId="5425D940" w14:textId="77777777" w:rsidR="00074BAA" w:rsidRPr="0040116E" w:rsidRDefault="00074BAA" w:rsidP="00B51A27">
            <w:pPr>
              <w:rPr>
                <w:sz w:val="18"/>
                <w:szCs w:val="18"/>
              </w:rPr>
            </w:pPr>
            <w:r w:rsidRPr="0040116E">
              <w:rPr>
                <w:sz w:val="18"/>
                <w:szCs w:val="18"/>
              </w:rPr>
              <w:t>n/a</w:t>
            </w:r>
          </w:p>
        </w:tc>
        <w:tc>
          <w:tcPr>
            <w:tcW w:w="708" w:type="dxa"/>
          </w:tcPr>
          <w:p w14:paraId="4B0C48A3" w14:textId="77777777" w:rsidR="00074BAA" w:rsidRPr="0040116E" w:rsidRDefault="00074BAA" w:rsidP="00B51A27">
            <w:pPr>
              <w:rPr>
                <w:sz w:val="18"/>
                <w:szCs w:val="18"/>
              </w:rPr>
            </w:pPr>
            <w:r w:rsidRPr="0040116E">
              <w:rPr>
                <w:sz w:val="18"/>
                <w:szCs w:val="18"/>
              </w:rPr>
              <w:t>n/a</w:t>
            </w:r>
          </w:p>
        </w:tc>
        <w:tc>
          <w:tcPr>
            <w:tcW w:w="921" w:type="dxa"/>
          </w:tcPr>
          <w:p w14:paraId="314B6DA2" w14:textId="77777777" w:rsidR="00074BAA" w:rsidRPr="00A73937" w:rsidRDefault="00074BAA" w:rsidP="00B51A27">
            <w:pPr>
              <w:rPr>
                <w:rFonts w:cs="Arial"/>
                <w:sz w:val="18"/>
                <w:szCs w:val="18"/>
              </w:rPr>
            </w:pPr>
            <w:r w:rsidRPr="00A73937">
              <w:rPr>
                <w:rFonts w:cs="Arial"/>
                <w:sz w:val="18"/>
                <w:szCs w:val="18"/>
              </w:rPr>
              <w:t>n/a</w:t>
            </w:r>
          </w:p>
        </w:tc>
        <w:tc>
          <w:tcPr>
            <w:tcW w:w="921" w:type="dxa"/>
          </w:tcPr>
          <w:p w14:paraId="35B9A037" w14:textId="77777777" w:rsidR="00074BAA" w:rsidRPr="00A73937" w:rsidRDefault="00074BAA" w:rsidP="00B51A27">
            <w:pPr>
              <w:rPr>
                <w:rFonts w:cs="Arial"/>
                <w:sz w:val="18"/>
                <w:szCs w:val="18"/>
              </w:rPr>
            </w:pPr>
            <w:r w:rsidRPr="00F53FB4">
              <w:rPr>
                <w:rFonts w:cs="Arial"/>
                <w:sz w:val="18"/>
                <w:szCs w:val="18"/>
              </w:rPr>
              <w:t xml:space="preserve">1.14  </w:t>
            </w:r>
            <w:r w:rsidRPr="00A73937">
              <w:rPr>
                <w:rFonts w:cs="Arial"/>
                <w:sz w:val="18"/>
                <w:szCs w:val="18"/>
              </w:rPr>
              <w:t>± 0.22</w:t>
            </w:r>
          </w:p>
        </w:tc>
        <w:tc>
          <w:tcPr>
            <w:tcW w:w="921" w:type="dxa"/>
          </w:tcPr>
          <w:p w14:paraId="2D4438F2" w14:textId="77777777" w:rsidR="00074BAA" w:rsidRPr="00A73937" w:rsidRDefault="00074BAA" w:rsidP="00B51A27">
            <w:pPr>
              <w:rPr>
                <w:rFonts w:cs="Arial"/>
                <w:sz w:val="18"/>
                <w:szCs w:val="18"/>
              </w:rPr>
            </w:pPr>
            <w:r w:rsidRPr="00A73937">
              <w:rPr>
                <w:rFonts w:cs="Arial"/>
                <w:sz w:val="18"/>
                <w:szCs w:val="18"/>
              </w:rPr>
              <w:t>n/a</w:t>
            </w:r>
          </w:p>
        </w:tc>
        <w:tc>
          <w:tcPr>
            <w:tcW w:w="922" w:type="dxa"/>
          </w:tcPr>
          <w:p w14:paraId="2D496306" w14:textId="77777777" w:rsidR="00074BAA" w:rsidRPr="0040116E" w:rsidRDefault="00074BAA" w:rsidP="00B51A27">
            <w:pPr>
              <w:rPr>
                <w:sz w:val="18"/>
                <w:szCs w:val="18"/>
              </w:rPr>
            </w:pPr>
            <w:r>
              <w:rPr>
                <w:sz w:val="18"/>
                <w:szCs w:val="18"/>
              </w:rPr>
              <w:t>n/a</w:t>
            </w:r>
          </w:p>
        </w:tc>
        <w:tc>
          <w:tcPr>
            <w:tcW w:w="921" w:type="dxa"/>
          </w:tcPr>
          <w:p w14:paraId="73689F1D" w14:textId="77777777" w:rsidR="00074BAA" w:rsidRDefault="00074BAA" w:rsidP="00B51A27">
            <w:pPr>
              <w:rPr>
                <w:sz w:val="18"/>
                <w:szCs w:val="18"/>
              </w:rPr>
            </w:pPr>
            <w:r>
              <w:rPr>
                <w:sz w:val="18"/>
                <w:szCs w:val="18"/>
              </w:rPr>
              <w:t>n/a</w:t>
            </w:r>
          </w:p>
        </w:tc>
        <w:tc>
          <w:tcPr>
            <w:tcW w:w="921" w:type="dxa"/>
          </w:tcPr>
          <w:p w14:paraId="0FAD15BF" w14:textId="77777777" w:rsidR="00074BAA" w:rsidRPr="006A05D5" w:rsidRDefault="00074BAA" w:rsidP="00B51A27">
            <w:pPr>
              <w:rPr>
                <w:sz w:val="18"/>
                <w:szCs w:val="18"/>
              </w:rPr>
            </w:pPr>
            <w:r w:rsidRPr="006A05D5">
              <w:rPr>
                <w:sz w:val="18"/>
                <w:szCs w:val="18"/>
              </w:rPr>
              <w:t xml:space="preserve">1.40 </w:t>
            </w:r>
            <w:r w:rsidRPr="006A05D5">
              <w:rPr>
                <w:rFonts w:cs="Arial"/>
                <w:sz w:val="18"/>
                <w:szCs w:val="18"/>
              </w:rPr>
              <w:t xml:space="preserve">± </w:t>
            </w:r>
            <w:r w:rsidRPr="006A05D5">
              <w:rPr>
                <w:sz w:val="18"/>
                <w:szCs w:val="18"/>
              </w:rPr>
              <w:t>0.68</w:t>
            </w:r>
          </w:p>
        </w:tc>
        <w:tc>
          <w:tcPr>
            <w:tcW w:w="921" w:type="dxa"/>
          </w:tcPr>
          <w:p w14:paraId="7E27FDC0" w14:textId="77777777" w:rsidR="00074BAA" w:rsidRPr="00E52ACD" w:rsidRDefault="00074BAA" w:rsidP="00B51A27">
            <w:pPr>
              <w:rPr>
                <w:sz w:val="18"/>
                <w:szCs w:val="18"/>
              </w:rPr>
            </w:pPr>
            <w:r w:rsidRPr="00E52ACD">
              <w:rPr>
                <w:sz w:val="18"/>
                <w:szCs w:val="18"/>
              </w:rPr>
              <w:t>n/a</w:t>
            </w:r>
          </w:p>
        </w:tc>
        <w:tc>
          <w:tcPr>
            <w:tcW w:w="922" w:type="dxa"/>
          </w:tcPr>
          <w:p w14:paraId="5F3EA5E2" w14:textId="77777777" w:rsidR="00074BAA" w:rsidRDefault="00074BAA" w:rsidP="00B51A27">
            <w:pPr>
              <w:rPr>
                <w:sz w:val="18"/>
                <w:szCs w:val="18"/>
              </w:rPr>
            </w:pPr>
            <w:r>
              <w:rPr>
                <w:sz w:val="18"/>
                <w:szCs w:val="18"/>
              </w:rPr>
              <w:t>n/a</w:t>
            </w:r>
          </w:p>
        </w:tc>
      </w:tr>
      <w:tr w:rsidR="00074BAA" w:rsidRPr="00AB00B0" w14:paraId="78BB95FC" w14:textId="77777777" w:rsidTr="00AE37C2">
        <w:tc>
          <w:tcPr>
            <w:tcW w:w="988" w:type="dxa"/>
            <w:vMerge/>
          </w:tcPr>
          <w:p w14:paraId="11FFC16D" w14:textId="77777777" w:rsidR="00074BAA" w:rsidRPr="0040116E" w:rsidRDefault="00074BAA" w:rsidP="00B51A27">
            <w:pPr>
              <w:rPr>
                <w:sz w:val="18"/>
                <w:szCs w:val="18"/>
              </w:rPr>
            </w:pPr>
          </w:p>
        </w:tc>
        <w:tc>
          <w:tcPr>
            <w:tcW w:w="850" w:type="dxa"/>
          </w:tcPr>
          <w:p w14:paraId="1BAC319E" w14:textId="77777777" w:rsidR="00074BAA" w:rsidRPr="0040116E" w:rsidRDefault="00074BAA" w:rsidP="00B51A27">
            <w:pPr>
              <w:rPr>
                <w:sz w:val="18"/>
                <w:szCs w:val="18"/>
              </w:rPr>
            </w:pPr>
            <w:r w:rsidRPr="0040116E">
              <w:rPr>
                <w:sz w:val="18"/>
                <w:szCs w:val="18"/>
              </w:rPr>
              <w:t>15.0</w:t>
            </w:r>
          </w:p>
        </w:tc>
        <w:tc>
          <w:tcPr>
            <w:tcW w:w="851" w:type="dxa"/>
          </w:tcPr>
          <w:p w14:paraId="37F83029" w14:textId="77777777" w:rsidR="00074BAA" w:rsidRPr="00DE6FA3" w:rsidRDefault="00074BAA" w:rsidP="00B51A27">
            <w:pPr>
              <w:rPr>
                <w:sz w:val="18"/>
                <w:szCs w:val="18"/>
              </w:rPr>
            </w:pPr>
            <w:r w:rsidRPr="00DE6FA3">
              <w:rPr>
                <w:sz w:val="18"/>
                <w:szCs w:val="18"/>
              </w:rPr>
              <w:t>n/a</w:t>
            </w:r>
          </w:p>
        </w:tc>
        <w:tc>
          <w:tcPr>
            <w:tcW w:w="850" w:type="dxa"/>
          </w:tcPr>
          <w:p w14:paraId="475C681A" w14:textId="77777777" w:rsidR="00074BAA" w:rsidRPr="00DE6FA3" w:rsidRDefault="00074BAA" w:rsidP="00B51A27">
            <w:pPr>
              <w:rPr>
                <w:sz w:val="18"/>
                <w:szCs w:val="18"/>
              </w:rPr>
            </w:pPr>
            <w:r w:rsidRPr="00DE6FA3">
              <w:rPr>
                <w:sz w:val="18"/>
                <w:szCs w:val="18"/>
              </w:rPr>
              <w:t xml:space="preserve">4.58 </w:t>
            </w:r>
            <w:r w:rsidRPr="00DE6FA3">
              <w:rPr>
                <w:rFonts w:cs="Arial"/>
                <w:sz w:val="18"/>
                <w:szCs w:val="18"/>
              </w:rPr>
              <w:t xml:space="preserve">± </w:t>
            </w:r>
            <w:r w:rsidRPr="00DE6FA3">
              <w:rPr>
                <w:sz w:val="18"/>
                <w:szCs w:val="18"/>
              </w:rPr>
              <w:t>0.78</w:t>
            </w:r>
          </w:p>
        </w:tc>
        <w:tc>
          <w:tcPr>
            <w:tcW w:w="1134" w:type="dxa"/>
          </w:tcPr>
          <w:p w14:paraId="3F128F74" w14:textId="77777777" w:rsidR="00074BAA" w:rsidRPr="00F477D6" w:rsidRDefault="00074BAA" w:rsidP="00B51A27">
            <w:pPr>
              <w:rPr>
                <w:color w:val="FF0000"/>
                <w:sz w:val="18"/>
                <w:szCs w:val="18"/>
              </w:rPr>
            </w:pPr>
            <w:r w:rsidRPr="00F477D6">
              <w:rPr>
                <w:sz w:val="18"/>
                <w:szCs w:val="18"/>
              </w:rPr>
              <w:t xml:space="preserve">0.02 </w:t>
            </w:r>
            <w:r w:rsidRPr="00F477D6">
              <w:rPr>
                <w:rFonts w:cs="Arial"/>
                <w:sz w:val="18"/>
                <w:szCs w:val="18"/>
              </w:rPr>
              <w:t>± 0.14</w:t>
            </w:r>
          </w:p>
        </w:tc>
        <w:tc>
          <w:tcPr>
            <w:tcW w:w="709" w:type="dxa"/>
          </w:tcPr>
          <w:p w14:paraId="46161F18" w14:textId="77777777" w:rsidR="00074BAA" w:rsidRPr="00DE6FA3" w:rsidRDefault="00074BAA" w:rsidP="00B51A27">
            <w:pPr>
              <w:rPr>
                <w:sz w:val="18"/>
                <w:szCs w:val="18"/>
              </w:rPr>
            </w:pPr>
            <w:r w:rsidRPr="00DE6FA3">
              <w:rPr>
                <w:sz w:val="18"/>
                <w:szCs w:val="18"/>
              </w:rPr>
              <w:t>NSD</w:t>
            </w:r>
          </w:p>
        </w:tc>
        <w:tc>
          <w:tcPr>
            <w:tcW w:w="850" w:type="dxa"/>
          </w:tcPr>
          <w:p w14:paraId="59B3C045" w14:textId="77777777" w:rsidR="00074BAA" w:rsidRPr="00DE6FA3" w:rsidRDefault="00074BAA" w:rsidP="00B51A27">
            <w:pPr>
              <w:rPr>
                <w:sz w:val="18"/>
                <w:szCs w:val="18"/>
              </w:rPr>
            </w:pPr>
            <w:r w:rsidRPr="00DE6FA3">
              <w:rPr>
                <w:sz w:val="18"/>
                <w:szCs w:val="18"/>
              </w:rPr>
              <w:t>n/a</w:t>
            </w:r>
          </w:p>
        </w:tc>
        <w:tc>
          <w:tcPr>
            <w:tcW w:w="993" w:type="dxa"/>
          </w:tcPr>
          <w:p w14:paraId="5FE40E20" w14:textId="77777777" w:rsidR="00074BAA" w:rsidRPr="00DE6FA3" w:rsidRDefault="00074BAA" w:rsidP="00B51A27">
            <w:pPr>
              <w:rPr>
                <w:sz w:val="18"/>
                <w:szCs w:val="18"/>
              </w:rPr>
            </w:pPr>
            <w:r w:rsidRPr="00DE6FA3">
              <w:rPr>
                <w:sz w:val="18"/>
                <w:szCs w:val="18"/>
              </w:rPr>
              <w:t xml:space="preserve">2.87 </w:t>
            </w:r>
            <w:r w:rsidRPr="00DE6FA3">
              <w:rPr>
                <w:rFonts w:cs="Arial"/>
                <w:sz w:val="18"/>
                <w:szCs w:val="18"/>
              </w:rPr>
              <w:t xml:space="preserve">± </w:t>
            </w:r>
            <w:r w:rsidRPr="00DE6FA3">
              <w:rPr>
                <w:sz w:val="18"/>
                <w:szCs w:val="18"/>
              </w:rPr>
              <w:t>0.67</w:t>
            </w:r>
          </w:p>
        </w:tc>
        <w:tc>
          <w:tcPr>
            <w:tcW w:w="1134" w:type="dxa"/>
          </w:tcPr>
          <w:p w14:paraId="4AFED384" w14:textId="77777777" w:rsidR="00074BAA" w:rsidRPr="00F477D6" w:rsidRDefault="00074BAA" w:rsidP="00B51A27">
            <w:pPr>
              <w:rPr>
                <w:color w:val="FF0000"/>
                <w:sz w:val="18"/>
                <w:szCs w:val="18"/>
              </w:rPr>
            </w:pPr>
            <w:r w:rsidRPr="00F477D6">
              <w:rPr>
                <w:sz w:val="18"/>
                <w:szCs w:val="18"/>
              </w:rPr>
              <w:t xml:space="preserve">0.05 </w:t>
            </w:r>
            <w:r w:rsidRPr="00F477D6">
              <w:rPr>
                <w:rFonts w:cs="Arial"/>
                <w:sz w:val="18"/>
                <w:szCs w:val="18"/>
              </w:rPr>
              <w:t>± 0.12</w:t>
            </w:r>
          </w:p>
        </w:tc>
        <w:tc>
          <w:tcPr>
            <w:tcW w:w="708" w:type="dxa"/>
          </w:tcPr>
          <w:p w14:paraId="2D054C64" w14:textId="77777777" w:rsidR="00074BAA" w:rsidRPr="00DE6FA3" w:rsidRDefault="00074BAA" w:rsidP="00B51A27">
            <w:pPr>
              <w:rPr>
                <w:sz w:val="18"/>
                <w:szCs w:val="18"/>
              </w:rPr>
            </w:pPr>
            <w:r w:rsidRPr="00DE6FA3">
              <w:rPr>
                <w:sz w:val="18"/>
                <w:szCs w:val="18"/>
              </w:rPr>
              <w:t>NSD</w:t>
            </w:r>
          </w:p>
        </w:tc>
        <w:tc>
          <w:tcPr>
            <w:tcW w:w="921" w:type="dxa"/>
          </w:tcPr>
          <w:p w14:paraId="3F505F36" w14:textId="77777777" w:rsidR="00074BAA" w:rsidRPr="00DE6FA3" w:rsidRDefault="00074BAA" w:rsidP="00B51A27">
            <w:pPr>
              <w:rPr>
                <w:rFonts w:cs="Arial"/>
                <w:sz w:val="18"/>
                <w:szCs w:val="18"/>
              </w:rPr>
            </w:pPr>
            <w:r w:rsidRPr="00DE6FA3">
              <w:rPr>
                <w:rFonts w:cs="Arial"/>
                <w:sz w:val="18"/>
                <w:szCs w:val="18"/>
              </w:rPr>
              <w:t>n/a</w:t>
            </w:r>
          </w:p>
        </w:tc>
        <w:tc>
          <w:tcPr>
            <w:tcW w:w="921" w:type="dxa"/>
          </w:tcPr>
          <w:p w14:paraId="09616E04" w14:textId="77777777" w:rsidR="00074BAA" w:rsidRPr="00DE6FA3" w:rsidRDefault="00074BAA" w:rsidP="00B51A27">
            <w:pPr>
              <w:rPr>
                <w:rFonts w:cs="Arial"/>
                <w:sz w:val="18"/>
                <w:szCs w:val="18"/>
              </w:rPr>
            </w:pPr>
            <w:r w:rsidRPr="00DE6FA3">
              <w:rPr>
                <w:rFonts w:cs="Arial"/>
                <w:sz w:val="18"/>
                <w:szCs w:val="18"/>
              </w:rPr>
              <w:t>1.11 ± 0.20</w:t>
            </w:r>
          </w:p>
        </w:tc>
        <w:tc>
          <w:tcPr>
            <w:tcW w:w="921" w:type="dxa"/>
          </w:tcPr>
          <w:p w14:paraId="79C6494B" w14:textId="77777777" w:rsidR="00074BAA" w:rsidRPr="00DE6FA3" w:rsidRDefault="00074BAA" w:rsidP="00B51A27">
            <w:pPr>
              <w:rPr>
                <w:rFonts w:cs="Arial"/>
                <w:sz w:val="18"/>
                <w:szCs w:val="18"/>
              </w:rPr>
            </w:pPr>
            <w:r w:rsidRPr="00F477D6">
              <w:rPr>
                <w:sz w:val="18"/>
                <w:szCs w:val="18"/>
              </w:rPr>
              <w:t xml:space="preserve">-0.03 </w:t>
            </w:r>
            <w:r w:rsidRPr="00F477D6">
              <w:rPr>
                <w:rFonts w:cs="Arial"/>
                <w:sz w:val="18"/>
                <w:szCs w:val="18"/>
              </w:rPr>
              <w:t>± 0.04</w:t>
            </w:r>
          </w:p>
        </w:tc>
        <w:tc>
          <w:tcPr>
            <w:tcW w:w="922" w:type="dxa"/>
          </w:tcPr>
          <w:p w14:paraId="46F6CB24" w14:textId="77777777" w:rsidR="00074BAA" w:rsidRPr="00DE6FA3" w:rsidRDefault="00074BAA" w:rsidP="00B51A27">
            <w:pPr>
              <w:rPr>
                <w:sz w:val="18"/>
                <w:szCs w:val="18"/>
              </w:rPr>
            </w:pPr>
            <w:r w:rsidRPr="00DE6FA3">
              <w:rPr>
                <w:sz w:val="18"/>
                <w:szCs w:val="18"/>
              </w:rPr>
              <w:t>NSD</w:t>
            </w:r>
          </w:p>
        </w:tc>
        <w:tc>
          <w:tcPr>
            <w:tcW w:w="921" w:type="dxa"/>
          </w:tcPr>
          <w:p w14:paraId="04DBF887" w14:textId="77777777" w:rsidR="00074BAA" w:rsidRPr="00DE6FA3" w:rsidRDefault="00074BAA" w:rsidP="00B51A27">
            <w:pPr>
              <w:rPr>
                <w:sz w:val="18"/>
                <w:szCs w:val="18"/>
              </w:rPr>
            </w:pPr>
            <w:r w:rsidRPr="00DE6FA3">
              <w:rPr>
                <w:sz w:val="18"/>
                <w:szCs w:val="18"/>
              </w:rPr>
              <w:t>n/a</w:t>
            </w:r>
          </w:p>
        </w:tc>
        <w:tc>
          <w:tcPr>
            <w:tcW w:w="921" w:type="dxa"/>
          </w:tcPr>
          <w:p w14:paraId="05D9FB5C" w14:textId="77777777" w:rsidR="00074BAA" w:rsidRPr="006A05D5" w:rsidRDefault="00074BAA" w:rsidP="00B51A27">
            <w:pPr>
              <w:rPr>
                <w:sz w:val="18"/>
                <w:szCs w:val="18"/>
              </w:rPr>
            </w:pPr>
            <w:r w:rsidRPr="006A05D5">
              <w:rPr>
                <w:sz w:val="18"/>
                <w:szCs w:val="18"/>
              </w:rPr>
              <w:t xml:space="preserve">1.46 </w:t>
            </w:r>
            <w:r w:rsidRPr="006A05D5">
              <w:rPr>
                <w:rFonts w:cs="Arial"/>
                <w:sz w:val="18"/>
                <w:szCs w:val="18"/>
              </w:rPr>
              <w:t xml:space="preserve">± </w:t>
            </w:r>
            <w:r w:rsidRPr="006A05D5">
              <w:rPr>
                <w:sz w:val="18"/>
                <w:szCs w:val="18"/>
              </w:rPr>
              <w:t>0.66</w:t>
            </w:r>
          </w:p>
        </w:tc>
        <w:tc>
          <w:tcPr>
            <w:tcW w:w="921" w:type="dxa"/>
          </w:tcPr>
          <w:p w14:paraId="168CA143" w14:textId="77777777" w:rsidR="00074BAA" w:rsidRPr="00E52ACD" w:rsidRDefault="00074BAA" w:rsidP="00B51A27">
            <w:pPr>
              <w:rPr>
                <w:sz w:val="18"/>
                <w:szCs w:val="18"/>
              </w:rPr>
            </w:pPr>
            <w:r w:rsidRPr="00E52ACD">
              <w:rPr>
                <w:sz w:val="18"/>
                <w:szCs w:val="18"/>
              </w:rPr>
              <w:t xml:space="preserve">0.06  </w:t>
            </w:r>
            <w:r w:rsidRPr="00E52ACD">
              <w:rPr>
                <w:rFonts w:cs="Arial"/>
                <w:sz w:val="18"/>
                <w:szCs w:val="18"/>
              </w:rPr>
              <w:t>± 0.12</w:t>
            </w:r>
          </w:p>
        </w:tc>
        <w:tc>
          <w:tcPr>
            <w:tcW w:w="922" w:type="dxa"/>
          </w:tcPr>
          <w:p w14:paraId="2C133A98" w14:textId="77777777" w:rsidR="00074BAA" w:rsidRDefault="00074BAA" w:rsidP="00B51A27">
            <w:pPr>
              <w:rPr>
                <w:sz w:val="18"/>
                <w:szCs w:val="18"/>
              </w:rPr>
            </w:pPr>
            <w:r>
              <w:rPr>
                <w:sz w:val="18"/>
                <w:szCs w:val="18"/>
              </w:rPr>
              <w:t>NSD</w:t>
            </w:r>
          </w:p>
        </w:tc>
      </w:tr>
      <w:tr w:rsidR="00074BAA" w:rsidRPr="00AB00B0" w14:paraId="4E065AC0" w14:textId="77777777" w:rsidTr="00AE37C2">
        <w:trPr>
          <w:trHeight w:val="451"/>
        </w:trPr>
        <w:tc>
          <w:tcPr>
            <w:tcW w:w="988" w:type="dxa"/>
            <w:vMerge w:val="restart"/>
          </w:tcPr>
          <w:p w14:paraId="4F75CA4D" w14:textId="77777777" w:rsidR="00074BAA" w:rsidRPr="0040116E" w:rsidRDefault="00074BAA" w:rsidP="00B51A27">
            <w:pPr>
              <w:rPr>
                <w:sz w:val="18"/>
                <w:szCs w:val="18"/>
              </w:rPr>
            </w:pPr>
            <w:r w:rsidRPr="0040116E">
              <w:rPr>
                <w:sz w:val="18"/>
                <w:szCs w:val="18"/>
                <w:lang w:bidi="ar-SA"/>
              </w:rPr>
              <w:t>Vulevic (2008</w:t>
            </w:r>
            <w:r>
              <w:rPr>
                <w:sz w:val="18"/>
                <w:szCs w:val="18"/>
                <w:lang w:bidi="ar-SA"/>
              </w:rPr>
              <w:t>)</w:t>
            </w:r>
          </w:p>
          <w:p w14:paraId="74DEB939" w14:textId="77777777" w:rsidR="00074BAA" w:rsidRPr="0040116E" w:rsidRDefault="00074BAA" w:rsidP="00B51A27">
            <w:pPr>
              <w:rPr>
                <w:sz w:val="18"/>
                <w:szCs w:val="18"/>
              </w:rPr>
            </w:pPr>
          </w:p>
        </w:tc>
        <w:tc>
          <w:tcPr>
            <w:tcW w:w="850" w:type="dxa"/>
          </w:tcPr>
          <w:p w14:paraId="1F74A3F7" w14:textId="77777777" w:rsidR="00074BAA" w:rsidRPr="0040116E" w:rsidRDefault="00074BAA" w:rsidP="00B51A27">
            <w:pPr>
              <w:rPr>
                <w:sz w:val="18"/>
                <w:szCs w:val="18"/>
              </w:rPr>
            </w:pPr>
            <w:r>
              <w:rPr>
                <w:sz w:val="18"/>
                <w:szCs w:val="18"/>
              </w:rPr>
              <w:t>0.0</w:t>
            </w:r>
          </w:p>
        </w:tc>
        <w:tc>
          <w:tcPr>
            <w:tcW w:w="851" w:type="dxa"/>
          </w:tcPr>
          <w:p w14:paraId="58C2EFB4" w14:textId="77777777" w:rsidR="00074BAA" w:rsidRPr="0040116E" w:rsidRDefault="00074BAA" w:rsidP="00B51A27">
            <w:pPr>
              <w:rPr>
                <w:sz w:val="18"/>
                <w:szCs w:val="18"/>
              </w:rPr>
            </w:pPr>
            <w:r w:rsidRPr="009A236E">
              <w:rPr>
                <w:sz w:val="18"/>
                <w:szCs w:val="18"/>
              </w:rPr>
              <w:t xml:space="preserve">4.94 </w:t>
            </w:r>
            <w:r w:rsidRPr="00AB00B0">
              <w:rPr>
                <w:rFonts w:cs="Arial"/>
                <w:sz w:val="18"/>
                <w:szCs w:val="18"/>
              </w:rPr>
              <w:t>±</w:t>
            </w:r>
            <w:r w:rsidRPr="009A236E">
              <w:rPr>
                <w:sz w:val="18"/>
                <w:szCs w:val="18"/>
              </w:rPr>
              <w:t xml:space="preserve"> 0.88</w:t>
            </w:r>
          </w:p>
        </w:tc>
        <w:tc>
          <w:tcPr>
            <w:tcW w:w="850" w:type="dxa"/>
          </w:tcPr>
          <w:p w14:paraId="4972B657" w14:textId="77777777" w:rsidR="00074BAA" w:rsidRPr="005D32E7" w:rsidRDefault="00074BAA" w:rsidP="00B51A27">
            <w:pPr>
              <w:rPr>
                <w:sz w:val="18"/>
                <w:szCs w:val="18"/>
                <w:vertAlign w:val="superscript"/>
              </w:rPr>
            </w:pPr>
            <w:r w:rsidRPr="009A236E">
              <w:rPr>
                <w:sz w:val="18"/>
                <w:szCs w:val="18"/>
              </w:rPr>
              <w:t xml:space="preserve">4.97 </w:t>
            </w:r>
            <w:r w:rsidRPr="00AB00B0">
              <w:rPr>
                <w:rFonts w:cs="Arial"/>
                <w:sz w:val="18"/>
                <w:szCs w:val="18"/>
              </w:rPr>
              <w:t>±</w:t>
            </w:r>
            <w:r w:rsidRPr="009A236E">
              <w:rPr>
                <w:sz w:val="18"/>
                <w:szCs w:val="18"/>
              </w:rPr>
              <w:t xml:space="preserve"> 0.97</w:t>
            </w:r>
            <w:r>
              <w:rPr>
                <w:sz w:val="18"/>
                <w:szCs w:val="18"/>
                <w:vertAlign w:val="superscript"/>
              </w:rPr>
              <w:t>7</w:t>
            </w:r>
          </w:p>
          <w:p w14:paraId="50C9FB4D" w14:textId="77777777" w:rsidR="00074BAA" w:rsidRPr="009A236E" w:rsidRDefault="00074BAA" w:rsidP="00B51A27">
            <w:pPr>
              <w:rPr>
                <w:sz w:val="18"/>
                <w:szCs w:val="18"/>
              </w:rPr>
            </w:pPr>
          </w:p>
        </w:tc>
        <w:tc>
          <w:tcPr>
            <w:tcW w:w="1134" w:type="dxa"/>
          </w:tcPr>
          <w:p w14:paraId="6FBA8EB0" w14:textId="77777777" w:rsidR="00074BAA" w:rsidRPr="00F477D6" w:rsidRDefault="00074BAA" w:rsidP="00B51A27">
            <w:pPr>
              <w:rPr>
                <w:color w:val="FF0000"/>
                <w:sz w:val="18"/>
                <w:szCs w:val="18"/>
              </w:rPr>
            </w:pPr>
            <w:r w:rsidRPr="00F477D6">
              <w:rPr>
                <w:sz w:val="18"/>
                <w:szCs w:val="18"/>
              </w:rPr>
              <w:t>n/a</w:t>
            </w:r>
          </w:p>
        </w:tc>
        <w:tc>
          <w:tcPr>
            <w:tcW w:w="709" w:type="dxa"/>
          </w:tcPr>
          <w:p w14:paraId="6300EE58" w14:textId="77777777" w:rsidR="00074BAA" w:rsidRPr="0040116E" w:rsidRDefault="00074BAA" w:rsidP="00B51A27">
            <w:pPr>
              <w:rPr>
                <w:sz w:val="18"/>
                <w:szCs w:val="18"/>
              </w:rPr>
            </w:pPr>
            <w:r w:rsidRPr="0040116E">
              <w:rPr>
                <w:sz w:val="18"/>
                <w:szCs w:val="18"/>
              </w:rPr>
              <w:t>n/a</w:t>
            </w:r>
          </w:p>
        </w:tc>
        <w:tc>
          <w:tcPr>
            <w:tcW w:w="850" w:type="dxa"/>
          </w:tcPr>
          <w:p w14:paraId="35C4A247" w14:textId="77777777" w:rsidR="00074BAA" w:rsidRPr="0040116E" w:rsidRDefault="00074BAA" w:rsidP="00B51A27">
            <w:pPr>
              <w:rPr>
                <w:sz w:val="18"/>
                <w:szCs w:val="18"/>
              </w:rPr>
            </w:pPr>
            <w:r w:rsidRPr="0040116E">
              <w:rPr>
                <w:sz w:val="18"/>
                <w:szCs w:val="18"/>
              </w:rPr>
              <w:t>n/a</w:t>
            </w:r>
          </w:p>
        </w:tc>
        <w:tc>
          <w:tcPr>
            <w:tcW w:w="993" w:type="dxa"/>
          </w:tcPr>
          <w:p w14:paraId="53923E61" w14:textId="77777777" w:rsidR="00074BAA" w:rsidRPr="0040116E" w:rsidRDefault="00074BAA" w:rsidP="00B51A27">
            <w:pPr>
              <w:rPr>
                <w:sz w:val="18"/>
                <w:szCs w:val="18"/>
              </w:rPr>
            </w:pPr>
            <w:r w:rsidRPr="0040116E">
              <w:rPr>
                <w:sz w:val="18"/>
                <w:szCs w:val="18"/>
              </w:rPr>
              <w:t>n/a</w:t>
            </w:r>
          </w:p>
        </w:tc>
        <w:tc>
          <w:tcPr>
            <w:tcW w:w="1134" w:type="dxa"/>
          </w:tcPr>
          <w:p w14:paraId="2C6FFF1C" w14:textId="77777777" w:rsidR="00074BAA" w:rsidRPr="00F477D6" w:rsidRDefault="00074BAA" w:rsidP="00B51A27">
            <w:pPr>
              <w:rPr>
                <w:sz w:val="18"/>
                <w:szCs w:val="18"/>
              </w:rPr>
            </w:pPr>
            <w:r w:rsidRPr="00F477D6">
              <w:rPr>
                <w:sz w:val="18"/>
                <w:szCs w:val="18"/>
              </w:rPr>
              <w:t>n/a</w:t>
            </w:r>
          </w:p>
        </w:tc>
        <w:tc>
          <w:tcPr>
            <w:tcW w:w="708" w:type="dxa"/>
          </w:tcPr>
          <w:p w14:paraId="5F9A8FEA" w14:textId="77777777" w:rsidR="00074BAA" w:rsidRPr="0040116E" w:rsidRDefault="00074BAA" w:rsidP="00B51A27">
            <w:pPr>
              <w:rPr>
                <w:sz w:val="18"/>
                <w:szCs w:val="18"/>
              </w:rPr>
            </w:pPr>
            <w:r w:rsidRPr="0040116E">
              <w:rPr>
                <w:sz w:val="18"/>
                <w:szCs w:val="18"/>
              </w:rPr>
              <w:t>n/a</w:t>
            </w:r>
          </w:p>
        </w:tc>
        <w:tc>
          <w:tcPr>
            <w:tcW w:w="921" w:type="dxa"/>
          </w:tcPr>
          <w:p w14:paraId="478FED6F" w14:textId="77777777" w:rsidR="00074BAA" w:rsidRPr="0040116E" w:rsidRDefault="00074BAA" w:rsidP="00B51A27">
            <w:pPr>
              <w:rPr>
                <w:sz w:val="18"/>
                <w:szCs w:val="18"/>
              </w:rPr>
            </w:pPr>
            <w:r w:rsidRPr="005D32E7">
              <w:rPr>
                <w:sz w:val="18"/>
                <w:szCs w:val="18"/>
              </w:rPr>
              <w:t xml:space="preserve">1.29 </w:t>
            </w:r>
            <w:r w:rsidRPr="00AB00B0">
              <w:rPr>
                <w:rFonts w:cs="Arial"/>
                <w:sz w:val="18"/>
                <w:szCs w:val="18"/>
              </w:rPr>
              <w:t>±</w:t>
            </w:r>
            <w:r w:rsidRPr="005D32E7">
              <w:rPr>
                <w:sz w:val="18"/>
                <w:szCs w:val="18"/>
              </w:rPr>
              <w:t xml:space="preserve"> 0.32</w:t>
            </w:r>
          </w:p>
        </w:tc>
        <w:tc>
          <w:tcPr>
            <w:tcW w:w="921" w:type="dxa"/>
          </w:tcPr>
          <w:p w14:paraId="7794849A" w14:textId="77777777" w:rsidR="00074BAA" w:rsidRPr="005D32E7" w:rsidRDefault="00074BAA" w:rsidP="00B51A27">
            <w:pPr>
              <w:rPr>
                <w:sz w:val="18"/>
                <w:szCs w:val="18"/>
              </w:rPr>
            </w:pPr>
            <w:r w:rsidRPr="00F53FB4">
              <w:rPr>
                <w:sz w:val="18"/>
                <w:szCs w:val="18"/>
              </w:rPr>
              <w:t xml:space="preserve">1.29 </w:t>
            </w:r>
            <w:r w:rsidRPr="00F53FB4">
              <w:rPr>
                <w:rFonts w:cs="Arial"/>
                <w:sz w:val="18"/>
                <w:szCs w:val="18"/>
              </w:rPr>
              <w:t>±</w:t>
            </w:r>
            <w:r w:rsidRPr="00F53FB4">
              <w:rPr>
                <w:sz w:val="18"/>
                <w:szCs w:val="18"/>
              </w:rPr>
              <w:t xml:space="preserve"> 0.31</w:t>
            </w:r>
            <w:r w:rsidRPr="00F53FB4">
              <w:rPr>
                <w:sz w:val="18"/>
                <w:szCs w:val="18"/>
                <w:vertAlign w:val="superscript"/>
              </w:rPr>
              <w:t>7</w:t>
            </w:r>
          </w:p>
        </w:tc>
        <w:tc>
          <w:tcPr>
            <w:tcW w:w="921" w:type="dxa"/>
          </w:tcPr>
          <w:p w14:paraId="17AFFA83" w14:textId="77777777" w:rsidR="00074BAA" w:rsidRPr="00E52ACD" w:rsidRDefault="00074BAA" w:rsidP="00B51A27">
            <w:pPr>
              <w:rPr>
                <w:sz w:val="18"/>
                <w:szCs w:val="18"/>
              </w:rPr>
            </w:pPr>
            <w:r w:rsidRPr="00E52ACD">
              <w:rPr>
                <w:sz w:val="18"/>
                <w:szCs w:val="18"/>
              </w:rPr>
              <w:t>n/a</w:t>
            </w:r>
          </w:p>
        </w:tc>
        <w:tc>
          <w:tcPr>
            <w:tcW w:w="922" w:type="dxa"/>
          </w:tcPr>
          <w:p w14:paraId="552A4316" w14:textId="77777777" w:rsidR="00074BAA" w:rsidRPr="0040116E" w:rsidRDefault="00074BAA" w:rsidP="00B51A27">
            <w:pPr>
              <w:rPr>
                <w:sz w:val="18"/>
                <w:szCs w:val="18"/>
              </w:rPr>
            </w:pPr>
            <w:r w:rsidRPr="00D36DF6">
              <w:rPr>
                <w:rFonts w:cs="Arial"/>
                <w:sz w:val="18"/>
                <w:szCs w:val="18"/>
              </w:rPr>
              <w:t>n/a</w:t>
            </w:r>
          </w:p>
        </w:tc>
        <w:tc>
          <w:tcPr>
            <w:tcW w:w="921" w:type="dxa"/>
          </w:tcPr>
          <w:p w14:paraId="515C987B" w14:textId="77777777" w:rsidR="00074BAA" w:rsidRDefault="00074BAA" w:rsidP="00B51A27">
            <w:pPr>
              <w:rPr>
                <w:sz w:val="18"/>
                <w:szCs w:val="18"/>
              </w:rPr>
            </w:pPr>
            <w:r>
              <w:rPr>
                <w:sz w:val="18"/>
                <w:szCs w:val="18"/>
              </w:rPr>
              <w:t>n/a</w:t>
            </w:r>
          </w:p>
        </w:tc>
        <w:tc>
          <w:tcPr>
            <w:tcW w:w="921" w:type="dxa"/>
          </w:tcPr>
          <w:p w14:paraId="68527954" w14:textId="77777777" w:rsidR="00074BAA" w:rsidRDefault="00074BAA" w:rsidP="00B51A27">
            <w:pPr>
              <w:rPr>
                <w:sz w:val="18"/>
                <w:szCs w:val="18"/>
              </w:rPr>
            </w:pPr>
            <w:r>
              <w:rPr>
                <w:sz w:val="18"/>
                <w:szCs w:val="18"/>
              </w:rPr>
              <w:t>n/a</w:t>
            </w:r>
          </w:p>
        </w:tc>
        <w:tc>
          <w:tcPr>
            <w:tcW w:w="921" w:type="dxa"/>
          </w:tcPr>
          <w:p w14:paraId="3F0572C4" w14:textId="77777777" w:rsidR="00074BAA" w:rsidRPr="00E52ACD" w:rsidRDefault="00074BAA" w:rsidP="00B51A27">
            <w:pPr>
              <w:rPr>
                <w:sz w:val="18"/>
                <w:szCs w:val="18"/>
              </w:rPr>
            </w:pPr>
            <w:r w:rsidRPr="00E52ACD">
              <w:rPr>
                <w:sz w:val="18"/>
                <w:szCs w:val="18"/>
              </w:rPr>
              <w:t>n/a</w:t>
            </w:r>
          </w:p>
        </w:tc>
        <w:tc>
          <w:tcPr>
            <w:tcW w:w="922" w:type="dxa"/>
          </w:tcPr>
          <w:p w14:paraId="4F10AE95" w14:textId="77777777" w:rsidR="00074BAA" w:rsidRDefault="00074BAA" w:rsidP="00B51A27">
            <w:pPr>
              <w:rPr>
                <w:sz w:val="18"/>
                <w:szCs w:val="18"/>
              </w:rPr>
            </w:pPr>
            <w:r>
              <w:rPr>
                <w:sz w:val="18"/>
                <w:szCs w:val="18"/>
              </w:rPr>
              <w:t>n/a</w:t>
            </w:r>
          </w:p>
        </w:tc>
      </w:tr>
      <w:tr w:rsidR="00074BAA" w:rsidRPr="00AB00B0" w14:paraId="58F572C1" w14:textId="77777777" w:rsidTr="00AE37C2">
        <w:trPr>
          <w:trHeight w:val="451"/>
        </w:trPr>
        <w:tc>
          <w:tcPr>
            <w:tcW w:w="988" w:type="dxa"/>
            <w:vMerge/>
          </w:tcPr>
          <w:p w14:paraId="64D462AC" w14:textId="77777777" w:rsidR="00074BAA" w:rsidRPr="0040116E" w:rsidRDefault="00074BAA" w:rsidP="00B51A27">
            <w:pPr>
              <w:rPr>
                <w:sz w:val="18"/>
                <w:szCs w:val="18"/>
              </w:rPr>
            </w:pPr>
          </w:p>
        </w:tc>
        <w:tc>
          <w:tcPr>
            <w:tcW w:w="850" w:type="dxa"/>
          </w:tcPr>
          <w:p w14:paraId="42DA420B" w14:textId="77777777" w:rsidR="00074BAA" w:rsidRPr="0040116E" w:rsidRDefault="00074BAA" w:rsidP="00B51A27">
            <w:pPr>
              <w:rPr>
                <w:sz w:val="18"/>
                <w:szCs w:val="18"/>
              </w:rPr>
            </w:pPr>
            <w:r>
              <w:rPr>
                <w:sz w:val="18"/>
                <w:szCs w:val="18"/>
              </w:rPr>
              <w:t>2.6</w:t>
            </w:r>
          </w:p>
        </w:tc>
        <w:tc>
          <w:tcPr>
            <w:tcW w:w="851" w:type="dxa"/>
          </w:tcPr>
          <w:p w14:paraId="4A246681" w14:textId="77777777" w:rsidR="00074BAA" w:rsidRPr="0040116E" w:rsidRDefault="00074BAA" w:rsidP="00B51A27">
            <w:pPr>
              <w:rPr>
                <w:sz w:val="18"/>
                <w:szCs w:val="18"/>
              </w:rPr>
            </w:pPr>
            <w:r w:rsidRPr="009A236E">
              <w:rPr>
                <w:sz w:val="18"/>
                <w:szCs w:val="18"/>
              </w:rPr>
              <w:t xml:space="preserve">5.02 </w:t>
            </w:r>
            <w:r w:rsidRPr="00AB00B0">
              <w:rPr>
                <w:rFonts w:cs="Arial"/>
                <w:sz w:val="18"/>
                <w:szCs w:val="18"/>
              </w:rPr>
              <w:t>±</w:t>
            </w:r>
            <w:r w:rsidRPr="009A236E">
              <w:rPr>
                <w:sz w:val="18"/>
                <w:szCs w:val="18"/>
              </w:rPr>
              <w:t xml:space="preserve"> 0.93</w:t>
            </w:r>
          </w:p>
        </w:tc>
        <w:tc>
          <w:tcPr>
            <w:tcW w:w="850" w:type="dxa"/>
          </w:tcPr>
          <w:p w14:paraId="717D39C7" w14:textId="77777777" w:rsidR="00074BAA" w:rsidRPr="005D32E7" w:rsidRDefault="00074BAA" w:rsidP="00B51A27">
            <w:pPr>
              <w:rPr>
                <w:sz w:val="18"/>
                <w:szCs w:val="18"/>
                <w:vertAlign w:val="superscript"/>
              </w:rPr>
            </w:pPr>
            <w:r w:rsidRPr="009A236E">
              <w:rPr>
                <w:sz w:val="18"/>
                <w:szCs w:val="18"/>
              </w:rPr>
              <w:t xml:space="preserve">5.07 </w:t>
            </w:r>
            <w:r w:rsidRPr="00AB00B0">
              <w:rPr>
                <w:rFonts w:cs="Arial"/>
                <w:sz w:val="18"/>
                <w:szCs w:val="18"/>
              </w:rPr>
              <w:t>±</w:t>
            </w:r>
            <w:r w:rsidRPr="009A236E">
              <w:rPr>
                <w:sz w:val="18"/>
                <w:szCs w:val="18"/>
              </w:rPr>
              <w:t xml:space="preserve"> 0.99</w:t>
            </w:r>
            <w:r>
              <w:rPr>
                <w:sz w:val="18"/>
                <w:szCs w:val="18"/>
                <w:vertAlign w:val="superscript"/>
              </w:rPr>
              <w:t>7</w:t>
            </w:r>
          </w:p>
        </w:tc>
        <w:tc>
          <w:tcPr>
            <w:tcW w:w="1134" w:type="dxa"/>
          </w:tcPr>
          <w:p w14:paraId="6C1E7C1B" w14:textId="77777777" w:rsidR="00074BAA" w:rsidRPr="00F477D6" w:rsidRDefault="00074BAA" w:rsidP="00B51A27">
            <w:pPr>
              <w:rPr>
                <w:sz w:val="18"/>
                <w:szCs w:val="18"/>
              </w:rPr>
            </w:pPr>
            <w:r w:rsidRPr="00F477D6">
              <w:rPr>
                <w:sz w:val="18"/>
                <w:szCs w:val="18"/>
              </w:rPr>
              <w:t xml:space="preserve">0.02 </w:t>
            </w:r>
            <w:r w:rsidRPr="00F477D6">
              <w:rPr>
                <w:rFonts w:cs="Arial"/>
                <w:sz w:val="18"/>
                <w:szCs w:val="18"/>
              </w:rPr>
              <w:t>± 0.13</w:t>
            </w:r>
            <w:r w:rsidRPr="00F477D6">
              <w:rPr>
                <w:sz w:val="18"/>
                <w:szCs w:val="18"/>
                <w:vertAlign w:val="superscript"/>
              </w:rPr>
              <w:t>7</w:t>
            </w:r>
          </w:p>
        </w:tc>
        <w:tc>
          <w:tcPr>
            <w:tcW w:w="709" w:type="dxa"/>
          </w:tcPr>
          <w:p w14:paraId="688BF88A" w14:textId="77777777" w:rsidR="00074BAA" w:rsidRPr="0040116E" w:rsidRDefault="00074BAA" w:rsidP="00B51A27">
            <w:pPr>
              <w:rPr>
                <w:sz w:val="18"/>
                <w:szCs w:val="18"/>
              </w:rPr>
            </w:pPr>
            <w:r>
              <w:rPr>
                <w:sz w:val="18"/>
                <w:szCs w:val="18"/>
              </w:rPr>
              <w:t>NSD</w:t>
            </w:r>
          </w:p>
        </w:tc>
        <w:tc>
          <w:tcPr>
            <w:tcW w:w="850" w:type="dxa"/>
          </w:tcPr>
          <w:p w14:paraId="5CCAB327" w14:textId="77777777" w:rsidR="00074BAA" w:rsidRPr="0040116E" w:rsidRDefault="00074BAA" w:rsidP="00B51A27">
            <w:pPr>
              <w:rPr>
                <w:sz w:val="18"/>
                <w:szCs w:val="18"/>
              </w:rPr>
            </w:pPr>
            <w:r w:rsidRPr="0040116E">
              <w:rPr>
                <w:sz w:val="18"/>
                <w:szCs w:val="18"/>
              </w:rPr>
              <w:t>n/a</w:t>
            </w:r>
          </w:p>
        </w:tc>
        <w:tc>
          <w:tcPr>
            <w:tcW w:w="993" w:type="dxa"/>
          </w:tcPr>
          <w:p w14:paraId="6747C405" w14:textId="77777777" w:rsidR="00074BAA" w:rsidRPr="0040116E" w:rsidRDefault="00074BAA" w:rsidP="00B51A27">
            <w:pPr>
              <w:rPr>
                <w:sz w:val="18"/>
                <w:szCs w:val="18"/>
              </w:rPr>
            </w:pPr>
            <w:r w:rsidRPr="0040116E">
              <w:rPr>
                <w:sz w:val="18"/>
                <w:szCs w:val="18"/>
              </w:rPr>
              <w:t>n/a</w:t>
            </w:r>
          </w:p>
        </w:tc>
        <w:tc>
          <w:tcPr>
            <w:tcW w:w="1134" w:type="dxa"/>
          </w:tcPr>
          <w:p w14:paraId="4737E063" w14:textId="77777777" w:rsidR="00074BAA" w:rsidRPr="00F477D6" w:rsidRDefault="00074BAA" w:rsidP="00B51A27">
            <w:pPr>
              <w:rPr>
                <w:sz w:val="18"/>
                <w:szCs w:val="18"/>
              </w:rPr>
            </w:pPr>
            <w:r w:rsidRPr="00F477D6">
              <w:rPr>
                <w:sz w:val="18"/>
                <w:szCs w:val="18"/>
              </w:rPr>
              <w:t>n/a</w:t>
            </w:r>
          </w:p>
        </w:tc>
        <w:tc>
          <w:tcPr>
            <w:tcW w:w="708" w:type="dxa"/>
          </w:tcPr>
          <w:p w14:paraId="45A8175F" w14:textId="77777777" w:rsidR="00074BAA" w:rsidRPr="0040116E" w:rsidRDefault="00074BAA" w:rsidP="00B51A27">
            <w:pPr>
              <w:rPr>
                <w:sz w:val="18"/>
                <w:szCs w:val="18"/>
              </w:rPr>
            </w:pPr>
            <w:r w:rsidRPr="0040116E">
              <w:rPr>
                <w:sz w:val="18"/>
                <w:szCs w:val="18"/>
              </w:rPr>
              <w:t>n/a</w:t>
            </w:r>
          </w:p>
        </w:tc>
        <w:tc>
          <w:tcPr>
            <w:tcW w:w="921" w:type="dxa"/>
          </w:tcPr>
          <w:p w14:paraId="5C957672" w14:textId="77777777" w:rsidR="00074BAA" w:rsidRPr="0040116E" w:rsidRDefault="00074BAA" w:rsidP="00B51A27">
            <w:pPr>
              <w:rPr>
                <w:sz w:val="18"/>
                <w:szCs w:val="18"/>
              </w:rPr>
            </w:pPr>
            <w:r>
              <w:rPr>
                <w:sz w:val="18"/>
                <w:szCs w:val="18"/>
              </w:rPr>
              <w:t xml:space="preserve">1.31 </w:t>
            </w:r>
            <w:r w:rsidRPr="00AB00B0">
              <w:rPr>
                <w:rFonts w:cs="Arial"/>
                <w:sz w:val="18"/>
                <w:szCs w:val="18"/>
              </w:rPr>
              <w:t>±</w:t>
            </w:r>
            <w:r w:rsidRPr="005D32E7">
              <w:rPr>
                <w:sz w:val="18"/>
                <w:szCs w:val="18"/>
              </w:rPr>
              <w:t xml:space="preserve"> 0.27</w:t>
            </w:r>
          </w:p>
        </w:tc>
        <w:tc>
          <w:tcPr>
            <w:tcW w:w="921" w:type="dxa"/>
          </w:tcPr>
          <w:p w14:paraId="6CEDD292" w14:textId="77777777" w:rsidR="00074BAA" w:rsidRPr="00F53FB4" w:rsidRDefault="00074BAA" w:rsidP="00B51A27">
            <w:pPr>
              <w:rPr>
                <w:sz w:val="18"/>
                <w:szCs w:val="18"/>
              </w:rPr>
            </w:pPr>
            <w:r w:rsidRPr="00F53FB4">
              <w:rPr>
                <w:sz w:val="18"/>
                <w:szCs w:val="18"/>
              </w:rPr>
              <w:t xml:space="preserve">1.28 </w:t>
            </w:r>
            <w:r w:rsidRPr="00F53FB4">
              <w:rPr>
                <w:rFonts w:cs="Arial"/>
                <w:sz w:val="18"/>
                <w:szCs w:val="18"/>
              </w:rPr>
              <w:t>±</w:t>
            </w:r>
            <w:r w:rsidRPr="00F53FB4">
              <w:rPr>
                <w:sz w:val="18"/>
                <w:szCs w:val="18"/>
              </w:rPr>
              <w:t xml:space="preserve"> 0.27</w:t>
            </w:r>
            <w:r w:rsidRPr="00F53FB4">
              <w:rPr>
                <w:sz w:val="18"/>
                <w:szCs w:val="18"/>
                <w:vertAlign w:val="superscript"/>
              </w:rPr>
              <w:t>7</w:t>
            </w:r>
          </w:p>
        </w:tc>
        <w:tc>
          <w:tcPr>
            <w:tcW w:w="921" w:type="dxa"/>
          </w:tcPr>
          <w:p w14:paraId="7AB41F1A" w14:textId="77777777" w:rsidR="00074BAA" w:rsidRPr="00E52ACD" w:rsidRDefault="00074BAA" w:rsidP="00B51A27">
            <w:pPr>
              <w:rPr>
                <w:sz w:val="18"/>
                <w:szCs w:val="18"/>
              </w:rPr>
            </w:pPr>
            <w:r w:rsidRPr="00E52ACD">
              <w:rPr>
                <w:rFonts w:cs="Arial"/>
                <w:sz w:val="18"/>
                <w:szCs w:val="18"/>
              </w:rPr>
              <w:t>-0.03 ± 0.04</w:t>
            </w:r>
            <w:r w:rsidRPr="00E52ACD">
              <w:rPr>
                <w:sz w:val="18"/>
                <w:szCs w:val="18"/>
                <w:vertAlign w:val="superscript"/>
              </w:rPr>
              <w:t>7</w:t>
            </w:r>
          </w:p>
        </w:tc>
        <w:tc>
          <w:tcPr>
            <w:tcW w:w="922" w:type="dxa"/>
          </w:tcPr>
          <w:p w14:paraId="6B1A1038" w14:textId="77777777" w:rsidR="00074BAA" w:rsidRPr="0040116E" w:rsidRDefault="00074BAA" w:rsidP="00B51A27">
            <w:pPr>
              <w:rPr>
                <w:sz w:val="18"/>
                <w:szCs w:val="18"/>
              </w:rPr>
            </w:pPr>
            <w:r>
              <w:rPr>
                <w:sz w:val="18"/>
                <w:szCs w:val="18"/>
              </w:rPr>
              <w:t>NSD</w:t>
            </w:r>
          </w:p>
        </w:tc>
        <w:tc>
          <w:tcPr>
            <w:tcW w:w="921" w:type="dxa"/>
          </w:tcPr>
          <w:p w14:paraId="61ED2436" w14:textId="77777777" w:rsidR="00074BAA" w:rsidRDefault="00074BAA" w:rsidP="00B51A27">
            <w:pPr>
              <w:rPr>
                <w:sz w:val="18"/>
                <w:szCs w:val="18"/>
              </w:rPr>
            </w:pPr>
            <w:r>
              <w:rPr>
                <w:sz w:val="18"/>
                <w:szCs w:val="18"/>
              </w:rPr>
              <w:t>n/a</w:t>
            </w:r>
          </w:p>
        </w:tc>
        <w:tc>
          <w:tcPr>
            <w:tcW w:w="921" w:type="dxa"/>
          </w:tcPr>
          <w:p w14:paraId="61930CCC" w14:textId="77777777" w:rsidR="00074BAA" w:rsidRDefault="00074BAA" w:rsidP="00B51A27">
            <w:pPr>
              <w:rPr>
                <w:sz w:val="18"/>
                <w:szCs w:val="18"/>
              </w:rPr>
            </w:pPr>
            <w:r>
              <w:rPr>
                <w:sz w:val="18"/>
                <w:szCs w:val="18"/>
              </w:rPr>
              <w:t>n/a</w:t>
            </w:r>
          </w:p>
        </w:tc>
        <w:tc>
          <w:tcPr>
            <w:tcW w:w="921" w:type="dxa"/>
          </w:tcPr>
          <w:p w14:paraId="615EDE80" w14:textId="77777777" w:rsidR="00074BAA" w:rsidRPr="00E52ACD" w:rsidRDefault="00074BAA" w:rsidP="00B51A27">
            <w:pPr>
              <w:rPr>
                <w:sz w:val="18"/>
                <w:szCs w:val="18"/>
              </w:rPr>
            </w:pPr>
            <w:r w:rsidRPr="00E52ACD">
              <w:rPr>
                <w:sz w:val="18"/>
                <w:szCs w:val="18"/>
              </w:rPr>
              <w:t>n/a</w:t>
            </w:r>
          </w:p>
        </w:tc>
        <w:tc>
          <w:tcPr>
            <w:tcW w:w="922" w:type="dxa"/>
          </w:tcPr>
          <w:p w14:paraId="0F8AC006" w14:textId="77777777" w:rsidR="00074BAA" w:rsidRDefault="00074BAA" w:rsidP="00B51A27">
            <w:pPr>
              <w:rPr>
                <w:sz w:val="18"/>
                <w:szCs w:val="18"/>
              </w:rPr>
            </w:pPr>
            <w:r>
              <w:rPr>
                <w:sz w:val="18"/>
                <w:szCs w:val="18"/>
              </w:rPr>
              <w:t>n/a</w:t>
            </w:r>
          </w:p>
        </w:tc>
      </w:tr>
      <w:tr w:rsidR="00074BAA" w:rsidRPr="00AB00B0" w14:paraId="7BC208BB" w14:textId="77777777" w:rsidTr="00AE37C2">
        <w:trPr>
          <w:trHeight w:val="451"/>
        </w:trPr>
        <w:tc>
          <w:tcPr>
            <w:tcW w:w="988" w:type="dxa"/>
            <w:vMerge w:val="restart"/>
          </w:tcPr>
          <w:p w14:paraId="5B404861" w14:textId="77777777" w:rsidR="00074BAA" w:rsidRPr="0040116E" w:rsidRDefault="00074BAA" w:rsidP="00B51A27">
            <w:pPr>
              <w:rPr>
                <w:sz w:val="18"/>
                <w:szCs w:val="18"/>
                <w:lang w:bidi="ar-SA"/>
              </w:rPr>
            </w:pPr>
            <w:r w:rsidRPr="0040116E">
              <w:rPr>
                <w:sz w:val="18"/>
                <w:szCs w:val="18"/>
                <w:lang w:bidi="ar-SA"/>
              </w:rPr>
              <w:t>Vulevic (2013)</w:t>
            </w:r>
          </w:p>
          <w:p w14:paraId="4C258B27" w14:textId="77777777" w:rsidR="00074BAA" w:rsidRPr="0040116E" w:rsidRDefault="00074BAA" w:rsidP="00B51A27">
            <w:pPr>
              <w:rPr>
                <w:sz w:val="18"/>
                <w:szCs w:val="18"/>
                <w:lang w:bidi="ar-SA"/>
              </w:rPr>
            </w:pPr>
          </w:p>
        </w:tc>
        <w:tc>
          <w:tcPr>
            <w:tcW w:w="850" w:type="dxa"/>
          </w:tcPr>
          <w:p w14:paraId="57582FCF" w14:textId="77777777" w:rsidR="00074BAA" w:rsidRPr="0040116E" w:rsidRDefault="00074BAA" w:rsidP="00B51A27">
            <w:pPr>
              <w:rPr>
                <w:sz w:val="18"/>
                <w:szCs w:val="18"/>
              </w:rPr>
            </w:pPr>
            <w:r>
              <w:rPr>
                <w:sz w:val="18"/>
                <w:szCs w:val="18"/>
              </w:rPr>
              <w:t>0.0</w:t>
            </w:r>
          </w:p>
        </w:tc>
        <w:tc>
          <w:tcPr>
            <w:tcW w:w="851" w:type="dxa"/>
          </w:tcPr>
          <w:p w14:paraId="6D2EED77" w14:textId="77777777" w:rsidR="00074BAA" w:rsidRPr="0040116E" w:rsidRDefault="00074BAA" w:rsidP="00B51A27">
            <w:pPr>
              <w:rPr>
                <w:sz w:val="18"/>
                <w:szCs w:val="18"/>
              </w:rPr>
            </w:pPr>
            <w:r w:rsidRPr="008433F8">
              <w:rPr>
                <w:sz w:val="18"/>
                <w:szCs w:val="18"/>
              </w:rPr>
              <w:t xml:space="preserve">6.2 </w:t>
            </w:r>
            <w:r w:rsidRPr="00AB00B0">
              <w:rPr>
                <w:rFonts w:cs="Arial"/>
                <w:sz w:val="18"/>
                <w:szCs w:val="18"/>
              </w:rPr>
              <w:t>±</w:t>
            </w:r>
            <w:r w:rsidRPr="008433F8">
              <w:rPr>
                <w:sz w:val="18"/>
                <w:szCs w:val="18"/>
              </w:rPr>
              <w:t xml:space="preserve"> 1.3</w:t>
            </w:r>
          </w:p>
        </w:tc>
        <w:tc>
          <w:tcPr>
            <w:tcW w:w="850" w:type="dxa"/>
          </w:tcPr>
          <w:p w14:paraId="3C58E332" w14:textId="77777777" w:rsidR="00074BAA" w:rsidRPr="001F530C" w:rsidRDefault="00074BAA" w:rsidP="00B51A27">
            <w:pPr>
              <w:rPr>
                <w:sz w:val="18"/>
                <w:szCs w:val="18"/>
              </w:rPr>
            </w:pPr>
            <w:r w:rsidRPr="001F530C">
              <w:rPr>
                <w:sz w:val="18"/>
                <w:szCs w:val="18"/>
              </w:rPr>
              <w:t xml:space="preserve">6.2 </w:t>
            </w:r>
            <w:r w:rsidRPr="001F530C">
              <w:rPr>
                <w:rFonts w:cs="Arial"/>
                <w:sz w:val="18"/>
                <w:szCs w:val="18"/>
              </w:rPr>
              <w:t>±</w:t>
            </w:r>
            <w:r w:rsidRPr="001F530C">
              <w:rPr>
                <w:sz w:val="18"/>
                <w:szCs w:val="18"/>
              </w:rPr>
              <w:t xml:space="preserve"> 1.2</w:t>
            </w:r>
          </w:p>
        </w:tc>
        <w:tc>
          <w:tcPr>
            <w:tcW w:w="1134" w:type="dxa"/>
          </w:tcPr>
          <w:p w14:paraId="3910BD78" w14:textId="77777777" w:rsidR="00074BAA" w:rsidRPr="00F477D6" w:rsidRDefault="00074BAA" w:rsidP="00B51A27">
            <w:pPr>
              <w:rPr>
                <w:sz w:val="18"/>
                <w:szCs w:val="18"/>
              </w:rPr>
            </w:pPr>
            <w:r w:rsidRPr="00F477D6">
              <w:rPr>
                <w:sz w:val="18"/>
                <w:szCs w:val="18"/>
              </w:rPr>
              <w:t>n/a</w:t>
            </w:r>
          </w:p>
        </w:tc>
        <w:tc>
          <w:tcPr>
            <w:tcW w:w="709" w:type="dxa"/>
          </w:tcPr>
          <w:p w14:paraId="5241894C" w14:textId="77777777" w:rsidR="00074BAA" w:rsidRPr="0040116E" w:rsidRDefault="00074BAA" w:rsidP="00B51A27">
            <w:pPr>
              <w:rPr>
                <w:sz w:val="18"/>
                <w:szCs w:val="18"/>
              </w:rPr>
            </w:pPr>
            <w:r w:rsidRPr="0040116E">
              <w:rPr>
                <w:sz w:val="18"/>
                <w:szCs w:val="18"/>
              </w:rPr>
              <w:t>n/a</w:t>
            </w:r>
          </w:p>
        </w:tc>
        <w:tc>
          <w:tcPr>
            <w:tcW w:w="850" w:type="dxa"/>
          </w:tcPr>
          <w:p w14:paraId="373D073F" w14:textId="77777777" w:rsidR="00074BAA" w:rsidRPr="0040116E" w:rsidRDefault="00074BAA" w:rsidP="00B51A27">
            <w:pPr>
              <w:rPr>
                <w:sz w:val="18"/>
                <w:szCs w:val="18"/>
              </w:rPr>
            </w:pPr>
            <w:r w:rsidRPr="008433F8">
              <w:rPr>
                <w:sz w:val="18"/>
                <w:szCs w:val="18"/>
              </w:rPr>
              <w:t xml:space="preserve">4.2 </w:t>
            </w:r>
            <w:r w:rsidRPr="00AB00B0">
              <w:rPr>
                <w:rFonts w:cs="Arial"/>
                <w:sz w:val="18"/>
                <w:szCs w:val="18"/>
              </w:rPr>
              <w:t>±</w:t>
            </w:r>
            <w:r w:rsidRPr="008433F8">
              <w:rPr>
                <w:sz w:val="18"/>
                <w:szCs w:val="18"/>
              </w:rPr>
              <w:t xml:space="preserve"> 1.1</w:t>
            </w:r>
          </w:p>
        </w:tc>
        <w:tc>
          <w:tcPr>
            <w:tcW w:w="993" w:type="dxa"/>
          </w:tcPr>
          <w:p w14:paraId="3B4BBF2C" w14:textId="77777777" w:rsidR="00074BAA" w:rsidRPr="0040116E" w:rsidRDefault="00074BAA" w:rsidP="00B51A27">
            <w:pPr>
              <w:rPr>
                <w:sz w:val="18"/>
                <w:szCs w:val="18"/>
              </w:rPr>
            </w:pPr>
            <w:r w:rsidRPr="008433F8">
              <w:rPr>
                <w:sz w:val="18"/>
                <w:szCs w:val="18"/>
              </w:rPr>
              <w:t xml:space="preserve">4.3 </w:t>
            </w:r>
            <w:r w:rsidRPr="00AB00B0">
              <w:rPr>
                <w:rFonts w:cs="Arial"/>
                <w:sz w:val="18"/>
                <w:szCs w:val="18"/>
              </w:rPr>
              <w:t>±</w:t>
            </w:r>
            <w:r w:rsidRPr="008433F8">
              <w:rPr>
                <w:sz w:val="18"/>
                <w:szCs w:val="18"/>
              </w:rPr>
              <w:t xml:space="preserve"> 1.0</w:t>
            </w:r>
          </w:p>
        </w:tc>
        <w:tc>
          <w:tcPr>
            <w:tcW w:w="1134" w:type="dxa"/>
          </w:tcPr>
          <w:p w14:paraId="63F1D92B" w14:textId="77777777" w:rsidR="00074BAA" w:rsidRPr="00F477D6" w:rsidRDefault="00074BAA" w:rsidP="00B51A27">
            <w:pPr>
              <w:rPr>
                <w:sz w:val="18"/>
                <w:szCs w:val="18"/>
              </w:rPr>
            </w:pPr>
            <w:r w:rsidRPr="00F477D6">
              <w:rPr>
                <w:sz w:val="18"/>
                <w:szCs w:val="18"/>
              </w:rPr>
              <w:t>n/a</w:t>
            </w:r>
          </w:p>
        </w:tc>
        <w:tc>
          <w:tcPr>
            <w:tcW w:w="708" w:type="dxa"/>
          </w:tcPr>
          <w:p w14:paraId="50252CD3" w14:textId="77777777" w:rsidR="00074BAA" w:rsidRPr="0040116E" w:rsidRDefault="00074BAA" w:rsidP="00B51A27">
            <w:pPr>
              <w:rPr>
                <w:sz w:val="18"/>
                <w:szCs w:val="18"/>
              </w:rPr>
            </w:pPr>
            <w:r w:rsidRPr="0040116E">
              <w:rPr>
                <w:sz w:val="18"/>
                <w:szCs w:val="18"/>
              </w:rPr>
              <w:t>n/a</w:t>
            </w:r>
          </w:p>
        </w:tc>
        <w:tc>
          <w:tcPr>
            <w:tcW w:w="921" w:type="dxa"/>
          </w:tcPr>
          <w:p w14:paraId="3D356B33" w14:textId="77777777" w:rsidR="00074BAA" w:rsidRPr="0040116E" w:rsidRDefault="00074BAA" w:rsidP="00B51A27">
            <w:pPr>
              <w:rPr>
                <w:sz w:val="18"/>
                <w:szCs w:val="18"/>
              </w:rPr>
            </w:pPr>
            <w:r>
              <w:rPr>
                <w:sz w:val="18"/>
                <w:szCs w:val="18"/>
              </w:rPr>
              <w:t xml:space="preserve">1.4 </w:t>
            </w:r>
            <w:r w:rsidRPr="00AB00B0">
              <w:rPr>
                <w:rFonts w:cs="Arial"/>
                <w:sz w:val="18"/>
                <w:szCs w:val="18"/>
              </w:rPr>
              <w:t>±</w:t>
            </w:r>
            <w:r w:rsidRPr="008433F8">
              <w:rPr>
                <w:sz w:val="18"/>
                <w:szCs w:val="18"/>
              </w:rPr>
              <w:t xml:space="preserve"> 0.4</w:t>
            </w:r>
          </w:p>
        </w:tc>
        <w:tc>
          <w:tcPr>
            <w:tcW w:w="921" w:type="dxa"/>
          </w:tcPr>
          <w:p w14:paraId="455E677B" w14:textId="77777777" w:rsidR="00074BAA" w:rsidRPr="0040116E" w:rsidRDefault="00074BAA" w:rsidP="00B51A27">
            <w:pPr>
              <w:rPr>
                <w:sz w:val="18"/>
                <w:szCs w:val="18"/>
              </w:rPr>
            </w:pPr>
            <w:r w:rsidRPr="00F53FB4">
              <w:rPr>
                <w:sz w:val="18"/>
                <w:szCs w:val="18"/>
              </w:rPr>
              <w:t xml:space="preserve">1.4 </w:t>
            </w:r>
            <w:r w:rsidRPr="00AB00B0">
              <w:rPr>
                <w:rFonts w:cs="Arial"/>
                <w:sz w:val="18"/>
                <w:szCs w:val="18"/>
              </w:rPr>
              <w:t>±</w:t>
            </w:r>
            <w:r w:rsidRPr="008433F8">
              <w:rPr>
                <w:sz w:val="18"/>
                <w:szCs w:val="18"/>
              </w:rPr>
              <w:t xml:space="preserve"> 0.4</w:t>
            </w:r>
          </w:p>
        </w:tc>
        <w:tc>
          <w:tcPr>
            <w:tcW w:w="921" w:type="dxa"/>
          </w:tcPr>
          <w:p w14:paraId="51B4BF5C" w14:textId="77777777" w:rsidR="00074BAA" w:rsidRPr="00E52ACD" w:rsidRDefault="00074BAA" w:rsidP="00B51A27">
            <w:pPr>
              <w:rPr>
                <w:sz w:val="18"/>
                <w:szCs w:val="18"/>
              </w:rPr>
            </w:pPr>
            <w:r w:rsidRPr="00E52ACD">
              <w:rPr>
                <w:sz w:val="18"/>
                <w:szCs w:val="18"/>
              </w:rPr>
              <w:t>n/a</w:t>
            </w:r>
          </w:p>
        </w:tc>
        <w:tc>
          <w:tcPr>
            <w:tcW w:w="922" w:type="dxa"/>
          </w:tcPr>
          <w:p w14:paraId="1E1E18EC" w14:textId="77777777" w:rsidR="00074BAA" w:rsidRPr="0040116E" w:rsidRDefault="00074BAA" w:rsidP="00B51A27">
            <w:pPr>
              <w:rPr>
                <w:sz w:val="18"/>
                <w:szCs w:val="18"/>
              </w:rPr>
            </w:pPr>
            <w:r w:rsidRPr="00D36DF6">
              <w:rPr>
                <w:rFonts w:cs="Arial"/>
                <w:sz w:val="18"/>
                <w:szCs w:val="18"/>
              </w:rPr>
              <w:t>n/a</w:t>
            </w:r>
          </w:p>
        </w:tc>
        <w:tc>
          <w:tcPr>
            <w:tcW w:w="921" w:type="dxa"/>
          </w:tcPr>
          <w:p w14:paraId="03AEC9D0" w14:textId="77777777" w:rsidR="00074BAA" w:rsidRDefault="00074BAA" w:rsidP="00B51A27">
            <w:pPr>
              <w:rPr>
                <w:sz w:val="18"/>
                <w:szCs w:val="18"/>
              </w:rPr>
            </w:pPr>
            <w:r w:rsidRPr="008433F8">
              <w:rPr>
                <w:sz w:val="18"/>
                <w:szCs w:val="18"/>
              </w:rPr>
              <w:t xml:space="preserve">1.6 </w:t>
            </w:r>
            <w:r w:rsidRPr="00AB00B0">
              <w:rPr>
                <w:rFonts w:cs="Arial"/>
                <w:sz w:val="18"/>
                <w:szCs w:val="18"/>
              </w:rPr>
              <w:t>±</w:t>
            </w:r>
            <w:r w:rsidRPr="008433F8">
              <w:rPr>
                <w:sz w:val="18"/>
                <w:szCs w:val="18"/>
              </w:rPr>
              <w:t xml:space="preserve"> 0.7</w:t>
            </w:r>
          </w:p>
        </w:tc>
        <w:tc>
          <w:tcPr>
            <w:tcW w:w="921" w:type="dxa"/>
          </w:tcPr>
          <w:p w14:paraId="6380ED41" w14:textId="77777777" w:rsidR="00074BAA" w:rsidRPr="006A05D5" w:rsidRDefault="00074BAA" w:rsidP="00B51A27">
            <w:pPr>
              <w:rPr>
                <w:sz w:val="18"/>
                <w:szCs w:val="18"/>
              </w:rPr>
            </w:pPr>
            <w:r w:rsidRPr="006A05D5">
              <w:rPr>
                <w:sz w:val="18"/>
                <w:szCs w:val="18"/>
              </w:rPr>
              <w:t xml:space="preserve">1.6 </w:t>
            </w:r>
            <w:r w:rsidRPr="006A05D5">
              <w:rPr>
                <w:rFonts w:cs="Arial"/>
                <w:sz w:val="18"/>
                <w:szCs w:val="18"/>
              </w:rPr>
              <w:t>±</w:t>
            </w:r>
            <w:r w:rsidRPr="006A05D5">
              <w:rPr>
                <w:sz w:val="18"/>
                <w:szCs w:val="18"/>
              </w:rPr>
              <w:t xml:space="preserve"> 0.7</w:t>
            </w:r>
          </w:p>
        </w:tc>
        <w:tc>
          <w:tcPr>
            <w:tcW w:w="921" w:type="dxa"/>
          </w:tcPr>
          <w:p w14:paraId="641AB565" w14:textId="77777777" w:rsidR="00074BAA" w:rsidRPr="00E52ACD" w:rsidRDefault="00074BAA" w:rsidP="00B51A27">
            <w:pPr>
              <w:rPr>
                <w:sz w:val="18"/>
                <w:szCs w:val="18"/>
              </w:rPr>
            </w:pPr>
            <w:r w:rsidRPr="00E52ACD">
              <w:rPr>
                <w:sz w:val="18"/>
                <w:szCs w:val="18"/>
              </w:rPr>
              <w:t>n/a</w:t>
            </w:r>
          </w:p>
        </w:tc>
        <w:tc>
          <w:tcPr>
            <w:tcW w:w="922" w:type="dxa"/>
          </w:tcPr>
          <w:p w14:paraId="6FADDB46" w14:textId="77777777" w:rsidR="00074BAA" w:rsidRDefault="00074BAA" w:rsidP="00B51A27">
            <w:pPr>
              <w:rPr>
                <w:sz w:val="18"/>
                <w:szCs w:val="18"/>
              </w:rPr>
            </w:pPr>
            <w:r w:rsidRPr="00D36DF6">
              <w:rPr>
                <w:rFonts w:cs="Arial"/>
                <w:sz w:val="18"/>
                <w:szCs w:val="18"/>
              </w:rPr>
              <w:t>n/a</w:t>
            </w:r>
          </w:p>
        </w:tc>
      </w:tr>
      <w:tr w:rsidR="00074BAA" w:rsidRPr="004808E4" w14:paraId="00C1A246" w14:textId="77777777" w:rsidTr="00AE37C2">
        <w:trPr>
          <w:trHeight w:val="451"/>
        </w:trPr>
        <w:tc>
          <w:tcPr>
            <w:tcW w:w="988" w:type="dxa"/>
            <w:vMerge/>
          </w:tcPr>
          <w:p w14:paraId="5DD5FB52" w14:textId="77777777" w:rsidR="00074BAA" w:rsidRPr="0040116E" w:rsidRDefault="00074BAA" w:rsidP="00B51A27">
            <w:pPr>
              <w:rPr>
                <w:sz w:val="18"/>
                <w:szCs w:val="18"/>
                <w:lang w:bidi="ar-SA"/>
              </w:rPr>
            </w:pPr>
          </w:p>
        </w:tc>
        <w:tc>
          <w:tcPr>
            <w:tcW w:w="850" w:type="dxa"/>
          </w:tcPr>
          <w:p w14:paraId="75176FB3" w14:textId="77777777" w:rsidR="00074BAA" w:rsidRPr="0040116E" w:rsidRDefault="00074BAA" w:rsidP="00B51A27">
            <w:pPr>
              <w:rPr>
                <w:sz w:val="18"/>
                <w:szCs w:val="18"/>
              </w:rPr>
            </w:pPr>
            <w:r>
              <w:rPr>
                <w:sz w:val="18"/>
                <w:szCs w:val="18"/>
              </w:rPr>
              <w:t>2.6</w:t>
            </w:r>
          </w:p>
        </w:tc>
        <w:tc>
          <w:tcPr>
            <w:tcW w:w="851" w:type="dxa"/>
          </w:tcPr>
          <w:p w14:paraId="1F2509FC" w14:textId="77777777" w:rsidR="00074BAA" w:rsidRPr="0040116E" w:rsidRDefault="00074BAA" w:rsidP="00B51A27">
            <w:pPr>
              <w:rPr>
                <w:sz w:val="18"/>
                <w:szCs w:val="18"/>
              </w:rPr>
            </w:pPr>
            <w:r>
              <w:rPr>
                <w:sz w:val="18"/>
                <w:szCs w:val="18"/>
              </w:rPr>
              <w:t>6.3</w:t>
            </w:r>
            <w:r w:rsidRPr="008433F8">
              <w:rPr>
                <w:sz w:val="18"/>
                <w:szCs w:val="18"/>
              </w:rPr>
              <w:t xml:space="preserve"> </w:t>
            </w:r>
            <w:r w:rsidRPr="00AB00B0">
              <w:rPr>
                <w:rFonts w:cs="Arial"/>
                <w:sz w:val="18"/>
                <w:szCs w:val="18"/>
              </w:rPr>
              <w:t>±</w:t>
            </w:r>
            <w:r w:rsidRPr="008433F8">
              <w:rPr>
                <w:sz w:val="18"/>
                <w:szCs w:val="18"/>
              </w:rPr>
              <w:t xml:space="preserve"> 1.3</w:t>
            </w:r>
          </w:p>
        </w:tc>
        <w:tc>
          <w:tcPr>
            <w:tcW w:w="850" w:type="dxa"/>
          </w:tcPr>
          <w:p w14:paraId="6AFCC802" w14:textId="77777777" w:rsidR="00074BAA" w:rsidRPr="001F530C" w:rsidRDefault="00074BAA" w:rsidP="00B51A27">
            <w:pPr>
              <w:rPr>
                <w:sz w:val="18"/>
                <w:szCs w:val="18"/>
              </w:rPr>
            </w:pPr>
            <w:r w:rsidRPr="001F530C">
              <w:rPr>
                <w:sz w:val="18"/>
                <w:szCs w:val="18"/>
              </w:rPr>
              <w:t xml:space="preserve">5.9 </w:t>
            </w:r>
            <w:r w:rsidRPr="001F530C">
              <w:rPr>
                <w:rFonts w:cs="Arial"/>
                <w:sz w:val="18"/>
                <w:szCs w:val="18"/>
              </w:rPr>
              <w:t>±</w:t>
            </w:r>
            <w:r w:rsidRPr="001F530C">
              <w:rPr>
                <w:sz w:val="18"/>
                <w:szCs w:val="18"/>
              </w:rPr>
              <w:t xml:space="preserve"> 1.1</w:t>
            </w:r>
          </w:p>
        </w:tc>
        <w:tc>
          <w:tcPr>
            <w:tcW w:w="1134" w:type="dxa"/>
          </w:tcPr>
          <w:p w14:paraId="7E91EF28" w14:textId="77777777" w:rsidR="00074BAA" w:rsidRPr="00F477D6" w:rsidRDefault="00074BAA" w:rsidP="00B51A27">
            <w:pPr>
              <w:rPr>
                <w:sz w:val="18"/>
                <w:szCs w:val="18"/>
              </w:rPr>
            </w:pPr>
            <w:r w:rsidRPr="00F477D6">
              <w:rPr>
                <w:sz w:val="18"/>
                <w:szCs w:val="18"/>
              </w:rPr>
              <w:t xml:space="preserve">-0.4 </w:t>
            </w:r>
            <w:r w:rsidRPr="00F477D6">
              <w:rPr>
                <w:rFonts w:cs="Arial"/>
                <w:sz w:val="18"/>
                <w:szCs w:val="18"/>
              </w:rPr>
              <w:t>± 0.17</w:t>
            </w:r>
            <w:r w:rsidRPr="00F477D6">
              <w:rPr>
                <w:sz w:val="18"/>
                <w:szCs w:val="18"/>
                <w:vertAlign w:val="superscript"/>
              </w:rPr>
              <w:t>7</w:t>
            </w:r>
          </w:p>
        </w:tc>
        <w:tc>
          <w:tcPr>
            <w:tcW w:w="709" w:type="dxa"/>
          </w:tcPr>
          <w:p w14:paraId="3F90CA3E" w14:textId="77777777" w:rsidR="00074BAA" w:rsidRPr="004808E4" w:rsidRDefault="00074BAA" w:rsidP="00B51A27">
            <w:pPr>
              <w:rPr>
                <w:b/>
                <w:sz w:val="18"/>
                <w:szCs w:val="18"/>
                <w:vertAlign w:val="superscript"/>
              </w:rPr>
            </w:pPr>
            <w:r>
              <w:rPr>
                <w:sz w:val="18"/>
                <w:szCs w:val="18"/>
              </w:rPr>
              <w:t>&lt; 0.0</w:t>
            </w:r>
            <w:r w:rsidRPr="004808E4">
              <w:rPr>
                <w:sz w:val="18"/>
                <w:szCs w:val="18"/>
              </w:rPr>
              <w:t>01</w:t>
            </w:r>
            <w:r w:rsidRPr="004808E4">
              <w:rPr>
                <w:sz w:val="18"/>
                <w:szCs w:val="18"/>
                <w:vertAlign w:val="superscript"/>
              </w:rPr>
              <w:t>8,9</w:t>
            </w:r>
          </w:p>
        </w:tc>
        <w:tc>
          <w:tcPr>
            <w:tcW w:w="850" w:type="dxa"/>
          </w:tcPr>
          <w:p w14:paraId="30AB77FA" w14:textId="77777777" w:rsidR="00074BAA" w:rsidRPr="004808E4" w:rsidRDefault="00074BAA" w:rsidP="00B51A27">
            <w:pPr>
              <w:rPr>
                <w:sz w:val="18"/>
                <w:szCs w:val="18"/>
              </w:rPr>
            </w:pPr>
            <w:r w:rsidRPr="004808E4">
              <w:rPr>
                <w:sz w:val="18"/>
                <w:szCs w:val="18"/>
              </w:rPr>
              <w:t xml:space="preserve">4.2 </w:t>
            </w:r>
            <w:r w:rsidRPr="004808E4">
              <w:rPr>
                <w:rFonts w:cs="Arial"/>
                <w:sz w:val="18"/>
                <w:szCs w:val="18"/>
              </w:rPr>
              <w:t>±</w:t>
            </w:r>
            <w:r w:rsidRPr="004808E4">
              <w:rPr>
                <w:sz w:val="18"/>
                <w:szCs w:val="18"/>
              </w:rPr>
              <w:t xml:space="preserve"> 1.1</w:t>
            </w:r>
          </w:p>
        </w:tc>
        <w:tc>
          <w:tcPr>
            <w:tcW w:w="993" w:type="dxa"/>
          </w:tcPr>
          <w:p w14:paraId="3D26884A" w14:textId="77777777" w:rsidR="00074BAA" w:rsidRPr="004808E4" w:rsidRDefault="00074BAA" w:rsidP="00B51A27">
            <w:pPr>
              <w:rPr>
                <w:sz w:val="18"/>
                <w:szCs w:val="18"/>
              </w:rPr>
            </w:pPr>
            <w:r w:rsidRPr="004808E4">
              <w:rPr>
                <w:sz w:val="18"/>
                <w:szCs w:val="18"/>
              </w:rPr>
              <w:t xml:space="preserve">4.1 </w:t>
            </w:r>
            <w:r w:rsidRPr="004808E4">
              <w:rPr>
                <w:rFonts w:cs="Arial"/>
                <w:sz w:val="18"/>
                <w:szCs w:val="18"/>
              </w:rPr>
              <w:t>±</w:t>
            </w:r>
            <w:r w:rsidRPr="004808E4">
              <w:rPr>
                <w:sz w:val="18"/>
                <w:szCs w:val="18"/>
              </w:rPr>
              <w:t xml:space="preserve"> 1.0</w:t>
            </w:r>
          </w:p>
        </w:tc>
        <w:tc>
          <w:tcPr>
            <w:tcW w:w="1134" w:type="dxa"/>
          </w:tcPr>
          <w:p w14:paraId="0A4749E4" w14:textId="77777777" w:rsidR="00074BAA" w:rsidRPr="00F477D6" w:rsidRDefault="00074BAA" w:rsidP="00B51A27">
            <w:pPr>
              <w:rPr>
                <w:sz w:val="18"/>
                <w:szCs w:val="18"/>
              </w:rPr>
            </w:pPr>
            <w:r w:rsidRPr="00F477D6">
              <w:rPr>
                <w:sz w:val="18"/>
                <w:szCs w:val="18"/>
              </w:rPr>
              <w:t xml:space="preserve">-0.2 </w:t>
            </w:r>
            <w:r w:rsidRPr="00F477D6">
              <w:rPr>
                <w:rFonts w:cs="Arial"/>
                <w:sz w:val="18"/>
                <w:szCs w:val="18"/>
              </w:rPr>
              <w:t>± 0.14</w:t>
            </w:r>
            <w:r w:rsidRPr="00F477D6">
              <w:rPr>
                <w:sz w:val="18"/>
                <w:szCs w:val="18"/>
                <w:vertAlign w:val="superscript"/>
              </w:rPr>
              <w:t>7</w:t>
            </w:r>
          </w:p>
          <w:p w14:paraId="6BEA5C7C" w14:textId="77777777" w:rsidR="00074BAA" w:rsidRPr="00F477D6" w:rsidRDefault="00074BAA" w:rsidP="00B51A27">
            <w:pPr>
              <w:rPr>
                <w:sz w:val="18"/>
                <w:szCs w:val="18"/>
              </w:rPr>
            </w:pPr>
          </w:p>
        </w:tc>
        <w:tc>
          <w:tcPr>
            <w:tcW w:w="708" w:type="dxa"/>
          </w:tcPr>
          <w:p w14:paraId="18EAE4C7" w14:textId="77777777" w:rsidR="00074BAA" w:rsidRPr="004808E4" w:rsidRDefault="00074BAA" w:rsidP="00B51A27">
            <w:pPr>
              <w:rPr>
                <w:sz w:val="18"/>
                <w:szCs w:val="18"/>
              </w:rPr>
            </w:pPr>
            <w:r w:rsidRPr="004808E4">
              <w:rPr>
                <w:sz w:val="18"/>
                <w:szCs w:val="18"/>
              </w:rPr>
              <w:t>NSD</w:t>
            </w:r>
          </w:p>
        </w:tc>
        <w:tc>
          <w:tcPr>
            <w:tcW w:w="921" w:type="dxa"/>
          </w:tcPr>
          <w:p w14:paraId="06577725" w14:textId="77777777" w:rsidR="00074BAA" w:rsidRPr="004808E4" w:rsidRDefault="00074BAA" w:rsidP="00B51A27">
            <w:pPr>
              <w:rPr>
                <w:sz w:val="18"/>
                <w:szCs w:val="18"/>
              </w:rPr>
            </w:pPr>
            <w:r w:rsidRPr="004808E4">
              <w:rPr>
                <w:sz w:val="18"/>
                <w:szCs w:val="18"/>
              </w:rPr>
              <w:t xml:space="preserve">1.4 </w:t>
            </w:r>
            <w:r w:rsidRPr="004808E4">
              <w:rPr>
                <w:rFonts w:cs="Arial"/>
                <w:sz w:val="18"/>
                <w:szCs w:val="18"/>
              </w:rPr>
              <w:t>±</w:t>
            </w:r>
            <w:r w:rsidRPr="004808E4">
              <w:rPr>
                <w:sz w:val="18"/>
                <w:szCs w:val="18"/>
              </w:rPr>
              <w:t xml:space="preserve"> 0.3</w:t>
            </w:r>
          </w:p>
        </w:tc>
        <w:tc>
          <w:tcPr>
            <w:tcW w:w="921" w:type="dxa"/>
          </w:tcPr>
          <w:p w14:paraId="6482798A" w14:textId="77777777" w:rsidR="00074BAA" w:rsidRPr="004808E4" w:rsidRDefault="00074BAA" w:rsidP="00B51A27">
            <w:pPr>
              <w:rPr>
                <w:sz w:val="18"/>
                <w:szCs w:val="18"/>
              </w:rPr>
            </w:pPr>
            <w:r w:rsidRPr="004808E4">
              <w:rPr>
                <w:sz w:val="18"/>
                <w:szCs w:val="18"/>
              </w:rPr>
              <w:t xml:space="preserve">1.4 </w:t>
            </w:r>
            <w:r w:rsidRPr="004808E4">
              <w:rPr>
                <w:rFonts w:cs="Arial"/>
                <w:sz w:val="18"/>
                <w:szCs w:val="18"/>
              </w:rPr>
              <w:t>±</w:t>
            </w:r>
            <w:r w:rsidRPr="004808E4">
              <w:rPr>
                <w:sz w:val="18"/>
                <w:szCs w:val="18"/>
              </w:rPr>
              <w:t xml:space="preserve"> 0.4</w:t>
            </w:r>
          </w:p>
        </w:tc>
        <w:tc>
          <w:tcPr>
            <w:tcW w:w="921" w:type="dxa"/>
          </w:tcPr>
          <w:p w14:paraId="7C7D9EB0" w14:textId="77777777" w:rsidR="00074BAA" w:rsidRPr="00E52ACD" w:rsidRDefault="00074BAA" w:rsidP="00B51A27">
            <w:pPr>
              <w:rPr>
                <w:sz w:val="18"/>
                <w:szCs w:val="18"/>
              </w:rPr>
            </w:pPr>
            <w:r w:rsidRPr="00336147">
              <w:rPr>
                <w:sz w:val="18"/>
                <w:szCs w:val="18"/>
              </w:rPr>
              <w:t xml:space="preserve">0.0 </w:t>
            </w:r>
            <w:r w:rsidRPr="00336147">
              <w:rPr>
                <w:rFonts w:cs="Arial"/>
                <w:sz w:val="18"/>
                <w:szCs w:val="18"/>
              </w:rPr>
              <w:t>± 0.05</w:t>
            </w:r>
            <w:r w:rsidRPr="00336147">
              <w:rPr>
                <w:sz w:val="18"/>
                <w:szCs w:val="18"/>
                <w:vertAlign w:val="superscript"/>
              </w:rPr>
              <w:t>7</w:t>
            </w:r>
          </w:p>
        </w:tc>
        <w:tc>
          <w:tcPr>
            <w:tcW w:w="922" w:type="dxa"/>
          </w:tcPr>
          <w:p w14:paraId="7A3DB3EE" w14:textId="77777777" w:rsidR="00074BAA" w:rsidRPr="004808E4" w:rsidRDefault="00074BAA" w:rsidP="00B51A27">
            <w:pPr>
              <w:rPr>
                <w:sz w:val="18"/>
                <w:szCs w:val="18"/>
              </w:rPr>
            </w:pPr>
            <w:r w:rsidRPr="004808E4">
              <w:rPr>
                <w:sz w:val="18"/>
                <w:szCs w:val="18"/>
              </w:rPr>
              <w:t>NSD</w:t>
            </w:r>
          </w:p>
        </w:tc>
        <w:tc>
          <w:tcPr>
            <w:tcW w:w="921" w:type="dxa"/>
          </w:tcPr>
          <w:p w14:paraId="2C2CA42D" w14:textId="77777777" w:rsidR="00074BAA" w:rsidRPr="004808E4" w:rsidRDefault="00074BAA" w:rsidP="00B51A27">
            <w:pPr>
              <w:rPr>
                <w:sz w:val="18"/>
                <w:szCs w:val="18"/>
              </w:rPr>
            </w:pPr>
            <w:r w:rsidRPr="004808E4">
              <w:rPr>
                <w:sz w:val="18"/>
                <w:szCs w:val="18"/>
              </w:rPr>
              <w:t xml:space="preserve">1.6 </w:t>
            </w:r>
            <w:r w:rsidRPr="004808E4">
              <w:rPr>
                <w:rFonts w:cs="Arial"/>
                <w:sz w:val="18"/>
                <w:szCs w:val="18"/>
              </w:rPr>
              <w:t>±</w:t>
            </w:r>
            <w:r w:rsidRPr="004808E4">
              <w:rPr>
                <w:sz w:val="18"/>
                <w:szCs w:val="18"/>
              </w:rPr>
              <w:t xml:space="preserve"> 0.8</w:t>
            </w:r>
          </w:p>
        </w:tc>
        <w:tc>
          <w:tcPr>
            <w:tcW w:w="921" w:type="dxa"/>
          </w:tcPr>
          <w:p w14:paraId="47A32FC8" w14:textId="77777777" w:rsidR="00074BAA" w:rsidRPr="006A05D5" w:rsidRDefault="00074BAA" w:rsidP="00B51A27">
            <w:pPr>
              <w:rPr>
                <w:sz w:val="18"/>
                <w:szCs w:val="18"/>
              </w:rPr>
            </w:pPr>
            <w:r w:rsidRPr="006A05D5">
              <w:rPr>
                <w:sz w:val="18"/>
                <w:szCs w:val="18"/>
              </w:rPr>
              <w:t xml:space="preserve">1.5 </w:t>
            </w:r>
            <w:r w:rsidRPr="006A05D5">
              <w:rPr>
                <w:rFonts w:cs="Arial"/>
                <w:sz w:val="18"/>
                <w:szCs w:val="18"/>
              </w:rPr>
              <w:t>±</w:t>
            </w:r>
            <w:r w:rsidRPr="006A05D5">
              <w:rPr>
                <w:sz w:val="18"/>
                <w:szCs w:val="18"/>
              </w:rPr>
              <w:t xml:space="preserve"> 0.6</w:t>
            </w:r>
          </w:p>
        </w:tc>
        <w:tc>
          <w:tcPr>
            <w:tcW w:w="921" w:type="dxa"/>
          </w:tcPr>
          <w:p w14:paraId="5A6CF8E7" w14:textId="77777777" w:rsidR="00074BAA" w:rsidRPr="00E52ACD" w:rsidRDefault="00074BAA" w:rsidP="00B51A27">
            <w:pPr>
              <w:rPr>
                <w:sz w:val="18"/>
                <w:szCs w:val="18"/>
              </w:rPr>
            </w:pPr>
            <w:r w:rsidRPr="00E52ACD">
              <w:rPr>
                <w:sz w:val="18"/>
                <w:szCs w:val="18"/>
              </w:rPr>
              <w:t xml:space="preserve">-0.1 </w:t>
            </w:r>
            <w:r w:rsidRPr="00E52ACD">
              <w:rPr>
                <w:rFonts w:cs="Arial"/>
                <w:sz w:val="18"/>
                <w:szCs w:val="18"/>
              </w:rPr>
              <w:t>± 0.10</w:t>
            </w:r>
            <w:r w:rsidRPr="00E52ACD">
              <w:rPr>
                <w:sz w:val="18"/>
                <w:szCs w:val="18"/>
                <w:vertAlign w:val="superscript"/>
              </w:rPr>
              <w:t>7</w:t>
            </w:r>
          </w:p>
        </w:tc>
        <w:tc>
          <w:tcPr>
            <w:tcW w:w="922" w:type="dxa"/>
          </w:tcPr>
          <w:p w14:paraId="21958951" w14:textId="77777777" w:rsidR="00074BAA" w:rsidRPr="004808E4" w:rsidRDefault="00074BAA" w:rsidP="00B51A27">
            <w:pPr>
              <w:rPr>
                <w:sz w:val="18"/>
                <w:szCs w:val="18"/>
                <w:vertAlign w:val="superscript"/>
              </w:rPr>
            </w:pPr>
            <w:r w:rsidRPr="004808E4">
              <w:rPr>
                <w:sz w:val="18"/>
                <w:szCs w:val="18"/>
              </w:rPr>
              <w:t>&lt; 0.005</w:t>
            </w:r>
            <w:r w:rsidRPr="004808E4">
              <w:rPr>
                <w:sz w:val="18"/>
                <w:szCs w:val="18"/>
                <w:vertAlign w:val="superscript"/>
              </w:rPr>
              <w:t>8,10</w:t>
            </w:r>
          </w:p>
        </w:tc>
      </w:tr>
      <w:tr w:rsidR="00074BAA" w:rsidRPr="00AB00B0" w14:paraId="79A3B9AC" w14:textId="77777777" w:rsidTr="00AE37C2">
        <w:trPr>
          <w:trHeight w:val="451"/>
        </w:trPr>
        <w:tc>
          <w:tcPr>
            <w:tcW w:w="988" w:type="dxa"/>
            <w:vMerge w:val="restart"/>
          </w:tcPr>
          <w:p w14:paraId="1F7B1399" w14:textId="77C9DF42" w:rsidR="00074BAA" w:rsidRDefault="00A407D3" w:rsidP="00B51A27">
            <w:pPr>
              <w:rPr>
                <w:sz w:val="18"/>
                <w:szCs w:val="18"/>
                <w:lang w:bidi="ar-SA"/>
              </w:rPr>
            </w:pPr>
            <w:r>
              <w:rPr>
                <w:sz w:val="18"/>
                <w:szCs w:val="18"/>
                <w:lang w:bidi="ar-SA"/>
              </w:rPr>
              <w:t>Pedersen</w:t>
            </w:r>
            <w:r w:rsidR="00074BAA" w:rsidRPr="0040116E">
              <w:rPr>
                <w:sz w:val="18"/>
                <w:szCs w:val="18"/>
                <w:lang w:bidi="ar-SA"/>
              </w:rPr>
              <w:t xml:space="preserve"> (2016)</w:t>
            </w:r>
          </w:p>
        </w:tc>
        <w:tc>
          <w:tcPr>
            <w:tcW w:w="850" w:type="dxa"/>
          </w:tcPr>
          <w:p w14:paraId="4FABA8F4" w14:textId="77777777" w:rsidR="00074BAA" w:rsidRPr="00991A9C" w:rsidRDefault="00074BAA" w:rsidP="00B51A27">
            <w:pPr>
              <w:rPr>
                <w:sz w:val="18"/>
                <w:szCs w:val="18"/>
              </w:rPr>
            </w:pPr>
            <w:r w:rsidRPr="00991A9C">
              <w:rPr>
                <w:sz w:val="18"/>
                <w:szCs w:val="18"/>
              </w:rPr>
              <w:t>0.0</w:t>
            </w:r>
          </w:p>
        </w:tc>
        <w:tc>
          <w:tcPr>
            <w:tcW w:w="851" w:type="dxa"/>
          </w:tcPr>
          <w:p w14:paraId="077D6BDA" w14:textId="77777777" w:rsidR="00074BAA" w:rsidRPr="00991A9C" w:rsidRDefault="00074BAA" w:rsidP="00B51A27">
            <w:pPr>
              <w:rPr>
                <w:sz w:val="18"/>
                <w:szCs w:val="18"/>
              </w:rPr>
            </w:pPr>
            <w:r w:rsidRPr="00991A9C">
              <w:rPr>
                <w:sz w:val="18"/>
                <w:szCs w:val="18"/>
              </w:rPr>
              <w:t>3.44 ± 0.26</w:t>
            </w:r>
          </w:p>
        </w:tc>
        <w:tc>
          <w:tcPr>
            <w:tcW w:w="850" w:type="dxa"/>
          </w:tcPr>
          <w:p w14:paraId="719F45D6" w14:textId="77777777" w:rsidR="00074BAA" w:rsidRPr="00991A9C" w:rsidRDefault="00074BAA" w:rsidP="00B51A27">
            <w:pPr>
              <w:rPr>
                <w:sz w:val="18"/>
                <w:szCs w:val="18"/>
              </w:rPr>
            </w:pPr>
            <w:r w:rsidRPr="00991A9C">
              <w:rPr>
                <w:sz w:val="18"/>
                <w:szCs w:val="18"/>
              </w:rPr>
              <w:t>3.65 ± 0.21</w:t>
            </w:r>
          </w:p>
        </w:tc>
        <w:tc>
          <w:tcPr>
            <w:tcW w:w="1134" w:type="dxa"/>
          </w:tcPr>
          <w:p w14:paraId="06471310" w14:textId="77777777" w:rsidR="00074BAA" w:rsidRPr="00F477D6" w:rsidRDefault="00074BAA" w:rsidP="00B51A27">
            <w:pPr>
              <w:rPr>
                <w:sz w:val="18"/>
                <w:szCs w:val="18"/>
              </w:rPr>
            </w:pPr>
            <w:r w:rsidRPr="00F477D6">
              <w:rPr>
                <w:sz w:val="18"/>
                <w:szCs w:val="18"/>
              </w:rPr>
              <w:t>n/a</w:t>
            </w:r>
          </w:p>
        </w:tc>
        <w:tc>
          <w:tcPr>
            <w:tcW w:w="709" w:type="dxa"/>
          </w:tcPr>
          <w:p w14:paraId="6FB30B13" w14:textId="77777777" w:rsidR="00074BAA" w:rsidRPr="00991A9C" w:rsidRDefault="00074BAA" w:rsidP="00B51A27">
            <w:pPr>
              <w:rPr>
                <w:sz w:val="18"/>
                <w:szCs w:val="18"/>
              </w:rPr>
            </w:pPr>
            <w:r w:rsidRPr="00991A9C">
              <w:rPr>
                <w:sz w:val="18"/>
                <w:szCs w:val="18"/>
              </w:rPr>
              <w:t>n/a</w:t>
            </w:r>
          </w:p>
        </w:tc>
        <w:tc>
          <w:tcPr>
            <w:tcW w:w="850" w:type="dxa"/>
          </w:tcPr>
          <w:p w14:paraId="42BCD5EF" w14:textId="77777777" w:rsidR="00074BAA" w:rsidRPr="00991A9C" w:rsidRDefault="00074BAA" w:rsidP="00B51A27">
            <w:pPr>
              <w:rPr>
                <w:sz w:val="18"/>
                <w:szCs w:val="18"/>
              </w:rPr>
            </w:pPr>
            <w:r w:rsidRPr="00991A9C">
              <w:rPr>
                <w:sz w:val="18"/>
                <w:szCs w:val="18"/>
              </w:rPr>
              <w:t>2.02 ± 0.20</w:t>
            </w:r>
          </w:p>
        </w:tc>
        <w:tc>
          <w:tcPr>
            <w:tcW w:w="993" w:type="dxa"/>
          </w:tcPr>
          <w:p w14:paraId="6167F961" w14:textId="77777777" w:rsidR="00074BAA" w:rsidRPr="00991A9C" w:rsidRDefault="00074BAA" w:rsidP="00B51A27">
            <w:pPr>
              <w:rPr>
                <w:sz w:val="18"/>
                <w:szCs w:val="18"/>
              </w:rPr>
            </w:pPr>
            <w:r w:rsidRPr="00991A9C">
              <w:rPr>
                <w:sz w:val="18"/>
                <w:szCs w:val="18"/>
              </w:rPr>
              <w:t>2.11 ± 0.17</w:t>
            </w:r>
          </w:p>
        </w:tc>
        <w:tc>
          <w:tcPr>
            <w:tcW w:w="1134" w:type="dxa"/>
          </w:tcPr>
          <w:p w14:paraId="6CD6E9FC" w14:textId="77777777" w:rsidR="00074BAA" w:rsidRPr="00F477D6" w:rsidRDefault="00074BAA" w:rsidP="00B51A27">
            <w:pPr>
              <w:rPr>
                <w:color w:val="FF0000"/>
                <w:sz w:val="18"/>
                <w:szCs w:val="18"/>
              </w:rPr>
            </w:pPr>
            <w:r w:rsidRPr="00F477D6">
              <w:rPr>
                <w:sz w:val="18"/>
                <w:szCs w:val="18"/>
              </w:rPr>
              <w:t>n/a</w:t>
            </w:r>
          </w:p>
        </w:tc>
        <w:tc>
          <w:tcPr>
            <w:tcW w:w="708" w:type="dxa"/>
          </w:tcPr>
          <w:p w14:paraId="0BDB4A08" w14:textId="77777777" w:rsidR="00074BAA" w:rsidRPr="00991A9C" w:rsidRDefault="00074BAA" w:rsidP="00B51A27">
            <w:pPr>
              <w:rPr>
                <w:sz w:val="18"/>
                <w:szCs w:val="18"/>
              </w:rPr>
            </w:pPr>
            <w:r w:rsidRPr="00991A9C">
              <w:rPr>
                <w:sz w:val="18"/>
                <w:szCs w:val="18"/>
              </w:rPr>
              <w:t>n/a</w:t>
            </w:r>
          </w:p>
        </w:tc>
        <w:tc>
          <w:tcPr>
            <w:tcW w:w="921" w:type="dxa"/>
          </w:tcPr>
          <w:p w14:paraId="76B3D484" w14:textId="77777777" w:rsidR="00074BAA" w:rsidRPr="00D36DF6" w:rsidRDefault="00074BAA" w:rsidP="00B51A27">
            <w:pPr>
              <w:rPr>
                <w:rFonts w:cs="Arial"/>
                <w:sz w:val="18"/>
                <w:szCs w:val="18"/>
              </w:rPr>
            </w:pPr>
            <w:r w:rsidRPr="00D36DF6">
              <w:rPr>
                <w:rFonts w:cs="Arial"/>
                <w:sz w:val="18"/>
                <w:szCs w:val="18"/>
              </w:rPr>
              <w:t>1.00 ± 0.07</w:t>
            </w:r>
          </w:p>
        </w:tc>
        <w:tc>
          <w:tcPr>
            <w:tcW w:w="921" w:type="dxa"/>
          </w:tcPr>
          <w:p w14:paraId="6BECD452" w14:textId="77777777" w:rsidR="00074BAA" w:rsidRPr="00F53FB4" w:rsidRDefault="00074BAA" w:rsidP="00B51A27">
            <w:pPr>
              <w:rPr>
                <w:rFonts w:cs="Arial"/>
                <w:sz w:val="18"/>
                <w:szCs w:val="18"/>
              </w:rPr>
            </w:pPr>
            <w:r w:rsidRPr="00F53FB4">
              <w:rPr>
                <w:rFonts w:cs="Arial"/>
                <w:sz w:val="18"/>
                <w:szCs w:val="18"/>
              </w:rPr>
              <w:t>1.09 ± 0.07</w:t>
            </w:r>
          </w:p>
        </w:tc>
        <w:tc>
          <w:tcPr>
            <w:tcW w:w="921" w:type="dxa"/>
          </w:tcPr>
          <w:p w14:paraId="779A3E1A" w14:textId="77777777" w:rsidR="00074BAA" w:rsidRPr="00E52ACD" w:rsidRDefault="00074BAA" w:rsidP="00B51A27">
            <w:pPr>
              <w:rPr>
                <w:rFonts w:cs="Arial"/>
                <w:sz w:val="18"/>
                <w:szCs w:val="18"/>
              </w:rPr>
            </w:pPr>
            <w:r w:rsidRPr="00E52ACD">
              <w:rPr>
                <w:sz w:val="18"/>
                <w:szCs w:val="18"/>
              </w:rPr>
              <w:t>n/a</w:t>
            </w:r>
          </w:p>
        </w:tc>
        <w:tc>
          <w:tcPr>
            <w:tcW w:w="922" w:type="dxa"/>
          </w:tcPr>
          <w:p w14:paraId="734D766F" w14:textId="77777777" w:rsidR="00074BAA" w:rsidRPr="00D36DF6" w:rsidRDefault="00074BAA" w:rsidP="00B51A27">
            <w:pPr>
              <w:rPr>
                <w:rFonts w:cs="Arial"/>
                <w:sz w:val="18"/>
                <w:szCs w:val="18"/>
              </w:rPr>
            </w:pPr>
            <w:r w:rsidRPr="00D36DF6">
              <w:rPr>
                <w:rFonts w:cs="Arial"/>
                <w:sz w:val="18"/>
                <w:szCs w:val="18"/>
              </w:rPr>
              <w:t>n/a</w:t>
            </w:r>
          </w:p>
        </w:tc>
        <w:tc>
          <w:tcPr>
            <w:tcW w:w="921" w:type="dxa"/>
          </w:tcPr>
          <w:p w14:paraId="7DC57E6D" w14:textId="77777777" w:rsidR="00074BAA" w:rsidRPr="00D36DF6" w:rsidRDefault="00074BAA" w:rsidP="00B51A27">
            <w:pPr>
              <w:rPr>
                <w:sz w:val="18"/>
                <w:szCs w:val="18"/>
              </w:rPr>
            </w:pPr>
            <w:r w:rsidRPr="00D36DF6">
              <w:rPr>
                <w:sz w:val="18"/>
                <w:szCs w:val="18"/>
              </w:rPr>
              <w:t>0.91 ± 0.11</w:t>
            </w:r>
          </w:p>
        </w:tc>
        <w:tc>
          <w:tcPr>
            <w:tcW w:w="921" w:type="dxa"/>
          </w:tcPr>
          <w:p w14:paraId="1C90106A" w14:textId="77777777" w:rsidR="00074BAA" w:rsidRPr="007E3578" w:rsidRDefault="00074BAA" w:rsidP="00B51A27">
            <w:pPr>
              <w:rPr>
                <w:sz w:val="18"/>
                <w:szCs w:val="18"/>
              </w:rPr>
            </w:pPr>
            <w:r w:rsidRPr="007E3578">
              <w:rPr>
                <w:sz w:val="18"/>
                <w:szCs w:val="18"/>
              </w:rPr>
              <w:t>0.97 ± 0.09</w:t>
            </w:r>
          </w:p>
        </w:tc>
        <w:tc>
          <w:tcPr>
            <w:tcW w:w="921" w:type="dxa"/>
          </w:tcPr>
          <w:p w14:paraId="5DD26CE0" w14:textId="77777777" w:rsidR="00074BAA" w:rsidRPr="00E52ACD" w:rsidRDefault="00074BAA" w:rsidP="00B51A27">
            <w:pPr>
              <w:rPr>
                <w:sz w:val="18"/>
                <w:szCs w:val="18"/>
              </w:rPr>
            </w:pPr>
            <w:r w:rsidRPr="00E52ACD">
              <w:rPr>
                <w:sz w:val="18"/>
                <w:szCs w:val="18"/>
              </w:rPr>
              <w:t>n/a</w:t>
            </w:r>
          </w:p>
        </w:tc>
        <w:tc>
          <w:tcPr>
            <w:tcW w:w="922" w:type="dxa"/>
          </w:tcPr>
          <w:p w14:paraId="6CA7BA51" w14:textId="77777777" w:rsidR="00074BAA" w:rsidRPr="00D36DF6" w:rsidRDefault="00074BAA" w:rsidP="00B51A27">
            <w:pPr>
              <w:rPr>
                <w:sz w:val="18"/>
                <w:szCs w:val="18"/>
              </w:rPr>
            </w:pPr>
            <w:r w:rsidRPr="00D36DF6">
              <w:rPr>
                <w:sz w:val="18"/>
                <w:szCs w:val="18"/>
              </w:rPr>
              <w:t>n/a</w:t>
            </w:r>
          </w:p>
        </w:tc>
      </w:tr>
      <w:tr w:rsidR="00074BAA" w:rsidRPr="00AB00B0" w14:paraId="4AD6A56E" w14:textId="77777777" w:rsidTr="00AE37C2">
        <w:trPr>
          <w:trHeight w:val="451"/>
        </w:trPr>
        <w:tc>
          <w:tcPr>
            <w:tcW w:w="988" w:type="dxa"/>
            <w:vMerge/>
          </w:tcPr>
          <w:p w14:paraId="1916EC41" w14:textId="77777777" w:rsidR="00074BAA" w:rsidRDefault="00074BAA" w:rsidP="00B51A27">
            <w:pPr>
              <w:rPr>
                <w:sz w:val="18"/>
                <w:szCs w:val="18"/>
                <w:lang w:bidi="ar-SA"/>
              </w:rPr>
            </w:pPr>
          </w:p>
        </w:tc>
        <w:tc>
          <w:tcPr>
            <w:tcW w:w="850" w:type="dxa"/>
          </w:tcPr>
          <w:p w14:paraId="1F723B54" w14:textId="77777777" w:rsidR="00074BAA" w:rsidRPr="00991A9C" w:rsidRDefault="00074BAA" w:rsidP="00B51A27">
            <w:pPr>
              <w:rPr>
                <w:sz w:val="18"/>
                <w:szCs w:val="18"/>
              </w:rPr>
            </w:pPr>
            <w:r w:rsidRPr="00991A9C">
              <w:rPr>
                <w:sz w:val="18"/>
                <w:szCs w:val="18"/>
              </w:rPr>
              <w:t>2.6</w:t>
            </w:r>
          </w:p>
        </w:tc>
        <w:tc>
          <w:tcPr>
            <w:tcW w:w="851" w:type="dxa"/>
          </w:tcPr>
          <w:p w14:paraId="7C5AC474" w14:textId="77777777" w:rsidR="00074BAA" w:rsidRPr="00991A9C" w:rsidRDefault="00074BAA" w:rsidP="00B51A27">
            <w:pPr>
              <w:rPr>
                <w:sz w:val="18"/>
                <w:szCs w:val="18"/>
              </w:rPr>
            </w:pPr>
            <w:r w:rsidRPr="00991A9C">
              <w:rPr>
                <w:sz w:val="18"/>
                <w:szCs w:val="18"/>
              </w:rPr>
              <w:t>3.40 ± 0.20</w:t>
            </w:r>
          </w:p>
        </w:tc>
        <w:tc>
          <w:tcPr>
            <w:tcW w:w="850" w:type="dxa"/>
          </w:tcPr>
          <w:p w14:paraId="412F8629" w14:textId="77777777" w:rsidR="00074BAA" w:rsidRPr="00991A9C" w:rsidRDefault="00074BAA" w:rsidP="00B51A27">
            <w:pPr>
              <w:rPr>
                <w:sz w:val="18"/>
                <w:szCs w:val="18"/>
              </w:rPr>
            </w:pPr>
            <w:r w:rsidRPr="00991A9C">
              <w:rPr>
                <w:sz w:val="18"/>
                <w:szCs w:val="18"/>
              </w:rPr>
              <w:t>3.33 ± 0.16</w:t>
            </w:r>
          </w:p>
        </w:tc>
        <w:tc>
          <w:tcPr>
            <w:tcW w:w="1134" w:type="dxa"/>
          </w:tcPr>
          <w:p w14:paraId="573A9BA6" w14:textId="77777777" w:rsidR="00074BAA" w:rsidRPr="00F477D6" w:rsidRDefault="00074BAA" w:rsidP="00B51A27">
            <w:pPr>
              <w:rPr>
                <w:sz w:val="18"/>
                <w:szCs w:val="18"/>
              </w:rPr>
            </w:pPr>
            <w:r w:rsidRPr="00F477D6">
              <w:rPr>
                <w:sz w:val="18"/>
                <w:szCs w:val="18"/>
              </w:rPr>
              <w:t xml:space="preserve">-0.28 </w:t>
            </w:r>
            <w:r w:rsidRPr="00F477D6">
              <w:rPr>
                <w:rFonts w:cs="Arial"/>
                <w:sz w:val="18"/>
                <w:szCs w:val="18"/>
              </w:rPr>
              <w:t>± 0.20</w:t>
            </w:r>
          </w:p>
        </w:tc>
        <w:tc>
          <w:tcPr>
            <w:tcW w:w="709" w:type="dxa"/>
          </w:tcPr>
          <w:p w14:paraId="7E721774" w14:textId="77777777" w:rsidR="00074BAA" w:rsidRPr="00991A9C" w:rsidRDefault="00074BAA" w:rsidP="00B51A27">
            <w:pPr>
              <w:rPr>
                <w:sz w:val="18"/>
                <w:szCs w:val="18"/>
              </w:rPr>
            </w:pPr>
            <w:r w:rsidRPr="00991A9C">
              <w:rPr>
                <w:sz w:val="18"/>
                <w:szCs w:val="18"/>
              </w:rPr>
              <w:t>0.068</w:t>
            </w:r>
          </w:p>
        </w:tc>
        <w:tc>
          <w:tcPr>
            <w:tcW w:w="850" w:type="dxa"/>
          </w:tcPr>
          <w:p w14:paraId="79FAA969" w14:textId="77777777" w:rsidR="00074BAA" w:rsidRPr="00991A9C" w:rsidRDefault="00074BAA" w:rsidP="00B51A27">
            <w:pPr>
              <w:rPr>
                <w:sz w:val="18"/>
                <w:szCs w:val="18"/>
              </w:rPr>
            </w:pPr>
            <w:r w:rsidRPr="00991A9C">
              <w:rPr>
                <w:sz w:val="18"/>
                <w:szCs w:val="18"/>
              </w:rPr>
              <w:t>1.91 ± 0.18</w:t>
            </w:r>
          </w:p>
        </w:tc>
        <w:tc>
          <w:tcPr>
            <w:tcW w:w="993" w:type="dxa"/>
          </w:tcPr>
          <w:p w14:paraId="20420D1E" w14:textId="77777777" w:rsidR="00074BAA" w:rsidRPr="00991A9C" w:rsidRDefault="00074BAA" w:rsidP="00B51A27">
            <w:pPr>
              <w:rPr>
                <w:sz w:val="18"/>
                <w:szCs w:val="18"/>
              </w:rPr>
            </w:pPr>
            <w:r>
              <w:rPr>
                <w:sz w:val="18"/>
                <w:szCs w:val="18"/>
              </w:rPr>
              <w:t>1.77 ± 0.16</w:t>
            </w:r>
          </w:p>
        </w:tc>
        <w:tc>
          <w:tcPr>
            <w:tcW w:w="1134" w:type="dxa"/>
          </w:tcPr>
          <w:p w14:paraId="20FE0800" w14:textId="77777777" w:rsidR="00074BAA" w:rsidRPr="00F477D6" w:rsidRDefault="00074BAA" w:rsidP="00B51A27">
            <w:pPr>
              <w:rPr>
                <w:color w:val="FF0000"/>
                <w:sz w:val="18"/>
                <w:szCs w:val="18"/>
              </w:rPr>
            </w:pPr>
            <w:r w:rsidRPr="00F477D6">
              <w:rPr>
                <w:sz w:val="18"/>
                <w:szCs w:val="18"/>
              </w:rPr>
              <w:t xml:space="preserve">-0.23 </w:t>
            </w:r>
            <w:r w:rsidRPr="00F477D6">
              <w:rPr>
                <w:rFonts w:cs="Arial"/>
                <w:sz w:val="18"/>
                <w:szCs w:val="18"/>
              </w:rPr>
              <w:t>± 0.16</w:t>
            </w:r>
          </w:p>
        </w:tc>
        <w:tc>
          <w:tcPr>
            <w:tcW w:w="708" w:type="dxa"/>
          </w:tcPr>
          <w:p w14:paraId="4C85A225" w14:textId="77777777" w:rsidR="00074BAA" w:rsidRPr="00991A9C" w:rsidRDefault="00074BAA" w:rsidP="00B51A27">
            <w:pPr>
              <w:rPr>
                <w:sz w:val="18"/>
                <w:szCs w:val="18"/>
              </w:rPr>
            </w:pPr>
            <w:r w:rsidRPr="00991A9C">
              <w:rPr>
                <w:sz w:val="18"/>
                <w:szCs w:val="18"/>
              </w:rPr>
              <w:t>0.051</w:t>
            </w:r>
          </w:p>
        </w:tc>
        <w:tc>
          <w:tcPr>
            <w:tcW w:w="921" w:type="dxa"/>
          </w:tcPr>
          <w:p w14:paraId="3DAA3D7C" w14:textId="77777777" w:rsidR="00074BAA" w:rsidRPr="00D36DF6" w:rsidRDefault="00074BAA" w:rsidP="00B51A27">
            <w:pPr>
              <w:rPr>
                <w:rFonts w:cs="Arial"/>
                <w:sz w:val="18"/>
                <w:szCs w:val="18"/>
              </w:rPr>
            </w:pPr>
            <w:r w:rsidRPr="00D36DF6">
              <w:rPr>
                <w:rFonts w:cs="Arial"/>
                <w:sz w:val="18"/>
                <w:szCs w:val="18"/>
              </w:rPr>
              <w:t>1.03 ± 0.08</w:t>
            </w:r>
          </w:p>
        </w:tc>
        <w:tc>
          <w:tcPr>
            <w:tcW w:w="921" w:type="dxa"/>
          </w:tcPr>
          <w:p w14:paraId="470581EF" w14:textId="77777777" w:rsidR="00074BAA" w:rsidRPr="00F53FB4" w:rsidRDefault="00074BAA" w:rsidP="00B51A27">
            <w:pPr>
              <w:rPr>
                <w:rFonts w:cs="Arial"/>
                <w:sz w:val="18"/>
                <w:szCs w:val="18"/>
              </w:rPr>
            </w:pPr>
            <w:r w:rsidRPr="00F53FB4">
              <w:rPr>
                <w:rFonts w:cs="Arial"/>
                <w:sz w:val="18"/>
                <w:szCs w:val="18"/>
              </w:rPr>
              <w:t>1.09 ± 0.09</w:t>
            </w:r>
          </w:p>
        </w:tc>
        <w:tc>
          <w:tcPr>
            <w:tcW w:w="921" w:type="dxa"/>
          </w:tcPr>
          <w:p w14:paraId="39567708" w14:textId="77777777" w:rsidR="00074BAA" w:rsidRPr="00E52ACD" w:rsidRDefault="00074BAA" w:rsidP="00B51A27">
            <w:pPr>
              <w:rPr>
                <w:rFonts w:cs="Arial"/>
                <w:sz w:val="18"/>
                <w:szCs w:val="18"/>
              </w:rPr>
            </w:pPr>
            <w:r w:rsidRPr="00E52ACD">
              <w:rPr>
                <w:rFonts w:cs="Arial"/>
                <w:sz w:val="18"/>
                <w:szCs w:val="18"/>
              </w:rPr>
              <w:t>-0.03</w:t>
            </w:r>
            <w:r w:rsidRPr="00E52ACD">
              <w:rPr>
                <w:sz w:val="18"/>
                <w:szCs w:val="18"/>
              </w:rPr>
              <w:t xml:space="preserve"> </w:t>
            </w:r>
            <w:r w:rsidRPr="00E52ACD">
              <w:rPr>
                <w:rFonts w:cs="Arial"/>
                <w:sz w:val="18"/>
                <w:szCs w:val="18"/>
              </w:rPr>
              <w:t>± 0.07</w:t>
            </w:r>
          </w:p>
        </w:tc>
        <w:tc>
          <w:tcPr>
            <w:tcW w:w="922" w:type="dxa"/>
          </w:tcPr>
          <w:p w14:paraId="45213324" w14:textId="77777777" w:rsidR="00074BAA" w:rsidRPr="002F3B34" w:rsidRDefault="00074BAA" w:rsidP="00B51A27">
            <w:pPr>
              <w:rPr>
                <w:rFonts w:cs="Arial"/>
                <w:sz w:val="18"/>
                <w:szCs w:val="18"/>
              </w:rPr>
            </w:pPr>
            <w:r w:rsidRPr="002F3B34">
              <w:rPr>
                <w:rFonts w:cs="Arial"/>
                <w:sz w:val="18"/>
                <w:szCs w:val="18"/>
              </w:rPr>
              <w:t>0.798</w:t>
            </w:r>
          </w:p>
        </w:tc>
        <w:tc>
          <w:tcPr>
            <w:tcW w:w="921" w:type="dxa"/>
          </w:tcPr>
          <w:p w14:paraId="25B3BFA0" w14:textId="77777777" w:rsidR="00074BAA" w:rsidRPr="002F3B34" w:rsidRDefault="00074BAA" w:rsidP="00B51A27">
            <w:pPr>
              <w:rPr>
                <w:sz w:val="18"/>
                <w:szCs w:val="18"/>
              </w:rPr>
            </w:pPr>
            <w:r w:rsidRPr="002F3B34">
              <w:rPr>
                <w:sz w:val="18"/>
                <w:szCs w:val="18"/>
              </w:rPr>
              <w:t>1.03 ± 0.10</w:t>
            </w:r>
          </w:p>
        </w:tc>
        <w:tc>
          <w:tcPr>
            <w:tcW w:w="921" w:type="dxa"/>
          </w:tcPr>
          <w:p w14:paraId="7BCB24E7" w14:textId="77777777" w:rsidR="00074BAA" w:rsidRPr="007E3578" w:rsidRDefault="00074BAA" w:rsidP="00B51A27">
            <w:pPr>
              <w:rPr>
                <w:sz w:val="18"/>
                <w:szCs w:val="18"/>
              </w:rPr>
            </w:pPr>
            <w:r w:rsidRPr="007E3578">
              <w:rPr>
                <w:sz w:val="18"/>
                <w:szCs w:val="18"/>
              </w:rPr>
              <w:t xml:space="preserve">1.02 ± 0.13 </w:t>
            </w:r>
          </w:p>
        </w:tc>
        <w:tc>
          <w:tcPr>
            <w:tcW w:w="921" w:type="dxa"/>
          </w:tcPr>
          <w:p w14:paraId="3B53B292" w14:textId="77777777" w:rsidR="00074BAA" w:rsidRPr="00E52ACD" w:rsidRDefault="00074BAA" w:rsidP="00B51A27">
            <w:pPr>
              <w:rPr>
                <w:sz w:val="18"/>
                <w:szCs w:val="18"/>
              </w:rPr>
            </w:pPr>
            <w:r w:rsidRPr="00E52ACD">
              <w:rPr>
                <w:sz w:val="18"/>
                <w:szCs w:val="18"/>
              </w:rPr>
              <w:t xml:space="preserve">-0.07 </w:t>
            </w:r>
            <w:r w:rsidRPr="00E52ACD">
              <w:rPr>
                <w:rFonts w:cs="Arial"/>
                <w:sz w:val="18"/>
                <w:szCs w:val="18"/>
              </w:rPr>
              <w:t>± 0.10</w:t>
            </w:r>
          </w:p>
        </w:tc>
        <w:tc>
          <w:tcPr>
            <w:tcW w:w="922" w:type="dxa"/>
          </w:tcPr>
          <w:p w14:paraId="14F6603C" w14:textId="77777777" w:rsidR="00074BAA" w:rsidRPr="00D36DF6" w:rsidRDefault="00074BAA" w:rsidP="00B51A27">
            <w:pPr>
              <w:rPr>
                <w:sz w:val="18"/>
                <w:szCs w:val="18"/>
              </w:rPr>
            </w:pPr>
            <w:r w:rsidRPr="00D36DF6">
              <w:rPr>
                <w:sz w:val="18"/>
                <w:szCs w:val="18"/>
              </w:rPr>
              <w:t>0.534</w:t>
            </w:r>
          </w:p>
        </w:tc>
      </w:tr>
      <w:tr w:rsidR="00074BAA" w:rsidRPr="00AB00B0" w14:paraId="19890156" w14:textId="77777777" w:rsidTr="00AE37C2">
        <w:trPr>
          <w:trHeight w:val="451"/>
        </w:trPr>
        <w:tc>
          <w:tcPr>
            <w:tcW w:w="988" w:type="dxa"/>
            <w:vMerge w:val="restart"/>
          </w:tcPr>
          <w:p w14:paraId="27953951" w14:textId="77777777" w:rsidR="00074BAA" w:rsidRDefault="00074BAA" w:rsidP="00B51A27">
            <w:pPr>
              <w:rPr>
                <w:sz w:val="18"/>
                <w:szCs w:val="18"/>
                <w:lang w:bidi="ar-SA"/>
              </w:rPr>
            </w:pPr>
            <w:r>
              <w:rPr>
                <w:sz w:val="18"/>
                <w:szCs w:val="18"/>
                <w:lang w:bidi="ar-SA"/>
              </w:rPr>
              <w:t>Canfora (2017)</w:t>
            </w:r>
          </w:p>
          <w:p w14:paraId="22C48F6D" w14:textId="77777777" w:rsidR="00074BAA" w:rsidRDefault="00074BAA" w:rsidP="00B51A27">
            <w:pPr>
              <w:rPr>
                <w:sz w:val="18"/>
                <w:szCs w:val="18"/>
                <w:lang w:bidi="ar-SA"/>
              </w:rPr>
            </w:pPr>
          </w:p>
        </w:tc>
        <w:tc>
          <w:tcPr>
            <w:tcW w:w="850" w:type="dxa"/>
          </w:tcPr>
          <w:p w14:paraId="69BF0882" w14:textId="77777777" w:rsidR="00074BAA" w:rsidRPr="00991A9C" w:rsidRDefault="00074BAA" w:rsidP="00B51A27">
            <w:pPr>
              <w:rPr>
                <w:sz w:val="18"/>
                <w:szCs w:val="18"/>
              </w:rPr>
            </w:pPr>
            <w:r w:rsidRPr="0040116E">
              <w:rPr>
                <w:sz w:val="18"/>
                <w:szCs w:val="18"/>
              </w:rPr>
              <w:t>0.0</w:t>
            </w:r>
          </w:p>
        </w:tc>
        <w:tc>
          <w:tcPr>
            <w:tcW w:w="851" w:type="dxa"/>
          </w:tcPr>
          <w:p w14:paraId="60B6611B" w14:textId="77777777" w:rsidR="00074BAA" w:rsidRPr="00991A9C" w:rsidRDefault="00074BAA" w:rsidP="00B51A27">
            <w:pPr>
              <w:rPr>
                <w:sz w:val="18"/>
                <w:szCs w:val="18"/>
              </w:rPr>
            </w:pPr>
            <w:r w:rsidRPr="0040116E">
              <w:rPr>
                <w:sz w:val="18"/>
                <w:szCs w:val="18"/>
              </w:rPr>
              <w:t>n/a</w:t>
            </w:r>
          </w:p>
        </w:tc>
        <w:tc>
          <w:tcPr>
            <w:tcW w:w="850" w:type="dxa"/>
          </w:tcPr>
          <w:p w14:paraId="4FB828A4" w14:textId="77777777" w:rsidR="00074BAA" w:rsidRPr="00991A9C" w:rsidRDefault="00074BAA" w:rsidP="00B51A27">
            <w:pPr>
              <w:rPr>
                <w:sz w:val="18"/>
                <w:szCs w:val="18"/>
              </w:rPr>
            </w:pPr>
            <w:r w:rsidRPr="0040116E">
              <w:rPr>
                <w:sz w:val="18"/>
                <w:szCs w:val="18"/>
              </w:rPr>
              <w:t>n/a</w:t>
            </w:r>
          </w:p>
        </w:tc>
        <w:tc>
          <w:tcPr>
            <w:tcW w:w="1134" w:type="dxa"/>
          </w:tcPr>
          <w:p w14:paraId="66FC01A1" w14:textId="77777777" w:rsidR="00074BAA" w:rsidRPr="00E20394" w:rsidRDefault="00074BAA" w:rsidP="00B51A27">
            <w:pPr>
              <w:rPr>
                <w:sz w:val="18"/>
                <w:szCs w:val="18"/>
              </w:rPr>
            </w:pPr>
            <w:r w:rsidRPr="0040116E">
              <w:rPr>
                <w:sz w:val="18"/>
                <w:szCs w:val="18"/>
              </w:rPr>
              <w:t>n/a</w:t>
            </w:r>
          </w:p>
        </w:tc>
        <w:tc>
          <w:tcPr>
            <w:tcW w:w="709" w:type="dxa"/>
          </w:tcPr>
          <w:p w14:paraId="6CD76676" w14:textId="77777777" w:rsidR="00074BAA" w:rsidRPr="00991A9C" w:rsidRDefault="00074BAA" w:rsidP="00B51A27">
            <w:pPr>
              <w:rPr>
                <w:sz w:val="18"/>
                <w:szCs w:val="18"/>
              </w:rPr>
            </w:pPr>
            <w:r w:rsidRPr="0040116E">
              <w:rPr>
                <w:sz w:val="18"/>
                <w:szCs w:val="18"/>
              </w:rPr>
              <w:t>n/a</w:t>
            </w:r>
          </w:p>
        </w:tc>
        <w:tc>
          <w:tcPr>
            <w:tcW w:w="850" w:type="dxa"/>
          </w:tcPr>
          <w:p w14:paraId="1E82A911" w14:textId="77777777" w:rsidR="00074BAA" w:rsidRPr="00991A9C" w:rsidRDefault="00074BAA" w:rsidP="00B51A27">
            <w:pPr>
              <w:rPr>
                <w:sz w:val="18"/>
                <w:szCs w:val="18"/>
              </w:rPr>
            </w:pPr>
            <w:r w:rsidRPr="0040116E">
              <w:rPr>
                <w:sz w:val="18"/>
                <w:szCs w:val="18"/>
              </w:rPr>
              <w:t>n/a</w:t>
            </w:r>
          </w:p>
        </w:tc>
        <w:tc>
          <w:tcPr>
            <w:tcW w:w="993" w:type="dxa"/>
          </w:tcPr>
          <w:p w14:paraId="159CAFBE" w14:textId="77777777" w:rsidR="00074BAA" w:rsidRDefault="00074BAA" w:rsidP="00B51A27">
            <w:pPr>
              <w:rPr>
                <w:sz w:val="18"/>
                <w:szCs w:val="18"/>
              </w:rPr>
            </w:pPr>
            <w:r w:rsidRPr="0040116E">
              <w:rPr>
                <w:sz w:val="18"/>
                <w:szCs w:val="18"/>
              </w:rPr>
              <w:t>n/a</w:t>
            </w:r>
          </w:p>
        </w:tc>
        <w:tc>
          <w:tcPr>
            <w:tcW w:w="1134" w:type="dxa"/>
          </w:tcPr>
          <w:p w14:paraId="370ED933" w14:textId="77777777" w:rsidR="00074BAA" w:rsidRPr="00F477D6" w:rsidRDefault="00074BAA" w:rsidP="00B51A27">
            <w:pPr>
              <w:rPr>
                <w:sz w:val="18"/>
                <w:szCs w:val="18"/>
              </w:rPr>
            </w:pPr>
            <w:r w:rsidRPr="00F477D6">
              <w:rPr>
                <w:sz w:val="18"/>
                <w:szCs w:val="18"/>
              </w:rPr>
              <w:t>n/a</w:t>
            </w:r>
          </w:p>
        </w:tc>
        <w:tc>
          <w:tcPr>
            <w:tcW w:w="708" w:type="dxa"/>
          </w:tcPr>
          <w:p w14:paraId="4FAF56D0" w14:textId="77777777" w:rsidR="00074BAA" w:rsidRPr="00991A9C" w:rsidRDefault="00074BAA" w:rsidP="00B51A27">
            <w:pPr>
              <w:rPr>
                <w:sz w:val="18"/>
                <w:szCs w:val="18"/>
              </w:rPr>
            </w:pPr>
            <w:r w:rsidRPr="0040116E">
              <w:rPr>
                <w:sz w:val="18"/>
                <w:szCs w:val="18"/>
              </w:rPr>
              <w:t>n/a</w:t>
            </w:r>
          </w:p>
        </w:tc>
        <w:tc>
          <w:tcPr>
            <w:tcW w:w="921" w:type="dxa"/>
          </w:tcPr>
          <w:p w14:paraId="14A248E0" w14:textId="77777777" w:rsidR="00074BAA" w:rsidRPr="00D36DF6" w:rsidRDefault="00074BAA" w:rsidP="00B51A27">
            <w:pPr>
              <w:rPr>
                <w:rFonts w:cs="Arial"/>
                <w:sz w:val="18"/>
                <w:szCs w:val="18"/>
              </w:rPr>
            </w:pPr>
            <w:r w:rsidRPr="0040116E">
              <w:rPr>
                <w:sz w:val="18"/>
                <w:szCs w:val="18"/>
              </w:rPr>
              <w:t>n/a</w:t>
            </w:r>
          </w:p>
        </w:tc>
        <w:tc>
          <w:tcPr>
            <w:tcW w:w="921" w:type="dxa"/>
          </w:tcPr>
          <w:p w14:paraId="30D26EA6" w14:textId="77777777" w:rsidR="00074BAA" w:rsidRPr="00D36DF6" w:rsidRDefault="00074BAA" w:rsidP="00B51A27">
            <w:pPr>
              <w:rPr>
                <w:rFonts w:cs="Arial"/>
                <w:sz w:val="18"/>
                <w:szCs w:val="18"/>
              </w:rPr>
            </w:pPr>
            <w:r w:rsidRPr="0040116E">
              <w:rPr>
                <w:sz w:val="18"/>
                <w:szCs w:val="18"/>
              </w:rPr>
              <w:t>n/a</w:t>
            </w:r>
          </w:p>
        </w:tc>
        <w:tc>
          <w:tcPr>
            <w:tcW w:w="921" w:type="dxa"/>
          </w:tcPr>
          <w:p w14:paraId="13EBB5C4" w14:textId="77777777" w:rsidR="00074BAA" w:rsidRDefault="00074BAA" w:rsidP="00B51A27">
            <w:pPr>
              <w:rPr>
                <w:rFonts w:cs="Arial"/>
                <w:sz w:val="18"/>
                <w:szCs w:val="18"/>
              </w:rPr>
            </w:pPr>
            <w:r w:rsidRPr="0040116E">
              <w:rPr>
                <w:sz w:val="18"/>
                <w:szCs w:val="18"/>
              </w:rPr>
              <w:t>n/a</w:t>
            </w:r>
          </w:p>
        </w:tc>
        <w:tc>
          <w:tcPr>
            <w:tcW w:w="922" w:type="dxa"/>
          </w:tcPr>
          <w:p w14:paraId="54A8E36A" w14:textId="77777777" w:rsidR="00074BAA" w:rsidRPr="00D36DF6" w:rsidRDefault="00074BAA" w:rsidP="00B51A27">
            <w:pPr>
              <w:rPr>
                <w:rFonts w:cs="Arial"/>
                <w:sz w:val="18"/>
                <w:szCs w:val="18"/>
              </w:rPr>
            </w:pPr>
            <w:r w:rsidRPr="0040116E">
              <w:rPr>
                <w:sz w:val="18"/>
                <w:szCs w:val="18"/>
              </w:rPr>
              <w:t>n/a</w:t>
            </w:r>
          </w:p>
        </w:tc>
        <w:tc>
          <w:tcPr>
            <w:tcW w:w="921" w:type="dxa"/>
          </w:tcPr>
          <w:p w14:paraId="6E2930B9" w14:textId="77777777" w:rsidR="00074BAA" w:rsidRPr="00D36DF6" w:rsidRDefault="00074BAA" w:rsidP="00B51A27">
            <w:pPr>
              <w:rPr>
                <w:sz w:val="18"/>
                <w:szCs w:val="18"/>
              </w:rPr>
            </w:pPr>
            <w:r w:rsidRPr="005D2D03">
              <w:rPr>
                <w:sz w:val="18"/>
                <w:szCs w:val="18"/>
              </w:rPr>
              <w:t>1.17 ± 0.45</w:t>
            </w:r>
          </w:p>
        </w:tc>
        <w:tc>
          <w:tcPr>
            <w:tcW w:w="921" w:type="dxa"/>
          </w:tcPr>
          <w:p w14:paraId="3D3F1388" w14:textId="77777777" w:rsidR="00074BAA" w:rsidRPr="007E3578" w:rsidRDefault="00074BAA" w:rsidP="00B51A27">
            <w:pPr>
              <w:rPr>
                <w:sz w:val="18"/>
                <w:szCs w:val="18"/>
              </w:rPr>
            </w:pPr>
            <w:r w:rsidRPr="007E3578">
              <w:rPr>
                <w:sz w:val="18"/>
                <w:szCs w:val="18"/>
              </w:rPr>
              <w:t>1.31 ± 0.51</w:t>
            </w:r>
          </w:p>
        </w:tc>
        <w:tc>
          <w:tcPr>
            <w:tcW w:w="921" w:type="dxa"/>
          </w:tcPr>
          <w:p w14:paraId="37DD18A8" w14:textId="77777777" w:rsidR="00074BAA" w:rsidRPr="00E52ACD" w:rsidRDefault="00074BAA" w:rsidP="00B51A27">
            <w:pPr>
              <w:rPr>
                <w:sz w:val="18"/>
                <w:szCs w:val="18"/>
              </w:rPr>
            </w:pPr>
            <w:r w:rsidRPr="00E52ACD">
              <w:rPr>
                <w:sz w:val="18"/>
                <w:szCs w:val="18"/>
              </w:rPr>
              <w:t>n/a</w:t>
            </w:r>
          </w:p>
        </w:tc>
        <w:tc>
          <w:tcPr>
            <w:tcW w:w="922" w:type="dxa"/>
          </w:tcPr>
          <w:p w14:paraId="3807AD1D" w14:textId="77777777" w:rsidR="00074BAA" w:rsidRPr="00D36DF6" w:rsidRDefault="00074BAA" w:rsidP="00B51A27">
            <w:pPr>
              <w:rPr>
                <w:sz w:val="18"/>
                <w:szCs w:val="18"/>
              </w:rPr>
            </w:pPr>
            <w:r w:rsidRPr="0040116E">
              <w:rPr>
                <w:sz w:val="18"/>
                <w:szCs w:val="18"/>
              </w:rPr>
              <w:t>n/a</w:t>
            </w:r>
          </w:p>
        </w:tc>
      </w:tr>
      <w:tr w:rsidR="00074BAA" w:rsidRPr="00AB00B0" w14:paraId="2DFE814B" w14:textId="77777777" w:rsidTr="00AE37C2">
        <w:trPr>
          <w:trHeight w:val="451"/>
        </w:trPr>
        <w:tc>
          <w:tcPr>
            <w:tcW w:w="988" w:type="dxa"/>
            <w:vMerge/>
          </w:tcPr>
          <w:p w14:paraId="380504E1" w14:textId="77777777" w:rsidR="00074BAA" w:rsidRDefault="00074BAA" w:rsidP="00B51A27">
            <w:pPr>
              <w:rPr>
                <w:sz w:val="18"/>
                <w:szCs w:val="18"/>
                <w:lang w:bidi="ar-SA"/>
              </w:rPr>
            </w:pPr>
          </w:p>
        </w:tc>
        <w:tc>
          <w:tcPr>
            <w:tcW w:w="850" w:type="dxa"/>
          </w:tcPr>
          <w:p w14:paraId="3398EDE7" w14:textId="77777777" w:rsidR="00074BAA" w:rsidRPr="00991A9C" w:rsidRDefault="00074BAA" w:rsidP="00B51A27">
            <w:pPr>
              <w:rPr>
                <w:sz w:val="18"/>
                <w:szCs w:val="18"/>
              </w:rPr>
            </w:pPr>
            <w:r w:rsidRPr="0040116E">
              <w:rPr>
                <w:sz w:val="18"/>
                <w:szCs w:val="18"/>
              </w:rPr>
              <w:t>15.0</w:t>
            </w:r>
          </w:p>
        </w:tc>
        <w:tc>
          <w:tcPr>
            <w:tcW w:w="851" w:type="dxa"/>
          </w:tcPr>
          <w:p w14:paraId="0CEB794F" w14:textId="77777777" w:rsidR="00074BAA" w:rsidRPr="00991A9C" w:rsidRDefault="00074BAA" w:rsidP="00B51A27">
            <w:pPr>
              <w:rPr>
                <w:sz w:val="18"/>
                <w:szCs w:val="18"/>
              </w:rPr>
            </w:pPr>
            <w:r w:rsidRPr="0040116E">
              <w:rPr>
                <w:sz w:val="18"/>
                <w:szCs w:val="18"/>
              </w:rPr>
              <w:t>n/a</w:t>
            </w:r>
          </w:p>
        </w:tc>
        <w:tc>
          <w:tcPr>
            <w:tcW w:w="850" w:type="dxa"/>
          </w:tcPr>
          <w:p w14:paraId="40997CA1" w14:textId="77777777" w:rsidR="00074BAA" w:rsidRPr="00991A9C" w:rsidRDefault="00074BAA" w:rsidP="00B51A27">
            <w:pPr>
              <w:rPr>
                <w:sz w:val="18"/>
                <w:szCs w:val="18"/>
              </w:rPr>
            </w:pPr>
            <w:r w:rsidRPr="0040116E">
              <w:rPr>
                <w:sz w:val="18"/>
                <w:szCs w:val="18"/>
              </w:rPr>
              <w:t>n/a</w:t>
            </w:r>
          </w:p>
        </w:tc>
        <w:tc>
          <w:tcPr>
            <w:tcW w:w="1134" w:type="dxa"/>
          </w:tcPr>
          <w:p w14:paraId="5B4EF76A" w14:textId="77777777" w:rsidR="00074BAA" w:rsidRPr="00E20394" w:rsidRDefault="00074BAA" w:rsidP="00B51A27">
            <w:pPr>
              <w:rPr>
                <w:sz w:val="18"/>
                <w:szCs w:val="18"/>
              </w:rPr>
            </w:pPr>
            <w:r w:rsidRPr="0040116E">
              <w:rPr>
                <w:sz w:val="18"/>
                <w:szCs w:val="18"/>
              </w:rPr>
              <w:t>n/a</w:t>
            </w:r>
          </w:p>
        </w:tc>
        <w:tc>
          <w:tcPr>
            <w:tcW w:w="709" w:type="dxa"/>
          </w:tcPr>
          <w:p w14:paraId="7F768FEB" w14:textId="77777777" w:rsidR="00074BAA" w:rsidRPr="00991A9C" w:rsidRDefault="00074BAA" w:rsidP="00B51A27">
            <w:pPr>
              <w:rPr>
                <w:sz w:val="18"/>
                <w:szCs w:val="18"/>
              </w:rPr>
            </w:pPr>
            <w:r w:rsidRPr="0040116E">
              <w:rPr>
                <w:sz w:val="18"/>
                <w:szCs w:val="18"/>
              </w:rPr>
              <w:t>n/a</w:t>
            </w:r>
          </w:p>
        </w:tc>
        <w:tc>
          <w:tcPr>
            <w:tcW w:w="850" w:type="dxa"/>
          </w:tcPr>
          <w:p w14:paraId="027C3897" w14:textId="77777777" w:rsidR="00074BAA" w:rsidRPr="00991A9C" w:rsidRDefault="00074BAA" w:rsidP="00B51A27">
            <w:pPr>
              <w:rPr>
                <w:sz w:val="18"/>
                <w:szCs w:val="18"/>
              </w:rPr>
            </w:pPr>
            <w:r w:rsidRPr="0040116E">
              <w:rPr>
                <w:sz w:val="18"/>
                <w:szCs w:val="18"/>
              </w:rPr>
              <w:t>n/a</w:t>
            </w:r>
          </w:p>
        </w:tc>
        <w:tc>
          <w:tcPr>
            <w:tcW w:w="993" w:type="dxa"/>
          </w:tcPr>
          <w:p w14:paraId="7293A30A" w14:textId="77777777" w:rsidR="00074BAA" w:rsidRDefault="00074BAA" w:rsidP="00B51A27">
            <w:pPr>
              <w:rPr>
                <w:sz w:val="18"/>
                <w:szCs w:val="18"/>
              </w:rPr>
            </w:pPr>
            <w:r w:rsidRPr="0040116E">
              <w:rPr>
                <w:sz w:val="18"/>
                <w:szCs w:val="18"/>
              </w:rPr>
              <w:t>n/a</w:t>
            </w:r>
          </w:p>
        </w:tc>
        <w:tc>
          <w:tcPr>
            <w:tcW w:w="1134" w:type="dxa"/>
          </w:tcPr>
          <w:p w14:paraId="24E29A97" w14:textId="77777777" w:rsidR="00074BAA" w:rsidRPr="00F477D6" w:rsidRDefault="00074BAA" w:rsidP="00B51A27">
            <w:pPr>
              <w:rPr>
                <w:sz w:val="18"/>
                <w:szCs w:val="18"/>
              </w:rPr>
            </w:pPr>
            <w:r w:rsidRPr="00F477D6">
              <w:rPr>
                <w:sz w:val="18"/>
                <w:szCs w:val="18"/>
              </w:rPr>
              <w:t>n/a</w:t>
            </w:r>
          </w:p>
        </w:tc>
        <w:tc>
          <w:tcPr>
            <w:tcW w:w="708" w:type="dxa"/>
          </w:tcPr>
          <w:p w14:paraId="24516940" w14:textId="77777777" w:rsidR="00074BAA" w:rsidRPr="00991A9C" w:rsidRDefault="00074BAA" w:rsidP="00B51A27">
            <w:pPr>
              <w:rPr>
                <w:sz w:val="18"/>
                <w:szCs w:val="18"/>
              </w:rPr>
            </w:pPr>
            <w:r w:rsidRPr="0040116E">
              <w:rPr>
                <w:sz w:val="18"/>
                <w:szCs w:val="18"/>
              </w:rPr>
              <w:t>n/a</w:t>
            </w:r>
          </w:p>
        </w:tc>
        <w:tc>
          <w:tcPr>
            <w:tcW w:w="921" w:type="dxa"/>
          </w:tcPr>
          <w:p w14:paraId="623F8048" w14:textId="77777777" w:rsidR="00074BAA" w:rsidRPr="00D36DF6" w:rsidRDefault="00074BAA" w:rsidP="00B51A27">
            <w:pPr>
              <w:rPr>
                <w:rFonts w:cs="Arial"/>
                <w:sz w:val="18"/>
                <w:szCs w:val="18"/>
              </w:rPr>
            </w:pPr>
            <w:r w:rsidRPr="0040116E">
              <w:rPr>
                <w:sz w:val="18"/>
                <w:szCs w:val="18"/>
              </w:rPr>
              <w:t>n/a</w:t>
            </w:r>
          </w:p>
        </w:tc>
        <w:tc>
          <w:tcPr>
            <w:tcW w:w="921" w:type="dxa"/>
          </w:tcPr>
          <w:p w14:paraId="392947A9" w14:textId="77777777" w:rsidR="00074BAA" w:rsidRPr="00D36DF6" w:rsidRDefault="00074BAA" w:rsidP="00B51A27">
            <w:pPr>
              <w:rPr>
                <w:rFonts w:cs="Arial"/>
                <w:sz w:val="18"/>
                <w:szCs w:val="18"/>
              </w:rPr>
            </w:pPr>
            <w:r w:rsidRPr="0040116E">
              <w:rPr>
                <w:sz w:val="18"/>
                <w:szCs w:val="18"/>
              </w:rPr>
              <w:t>n/a</w:t>
            </w:r>
          </w:p>
        </w:tc>
        <w:tc>
          <w:tcPr>
            <w:tcW w:w="921" w:type="dxa"/>
          </w:tcPr>
          <w:p w14:paraId="7FAF01BF" w14:textId="77777777" w:rsidR="00074BAA" w:rsidRDefault="00074BAA" w:rsidP="00B51A27">
            <w:pPr>
              <w:rPr>
                <w:rFonts w:cs="Arial"/>
                <w:sz w:val="18"/>
                <w:szCs w:val="18"/>
              </w:rPr>
            </w:pPr>
            <w:r w:rsidRPr="0040116E">
              <w:rPr>
                <w:sz w:val="18"/>
                <w:szCs w:val="18"/>
              </w:rPr>
              <w:t>n/a</w:t>
            </w:r>
          </w:p>
        </w:tc>
        <w:tc>
          <w:tcPr>
            <w:tcW w:w="922" w:type="dxa"/>
          </w:tcPr>
          <w:p w14:paraId="77E2F70B" w14:textId="77777777" w:rsidR="00074BAA" w:rsidRPr="00D36DF6" w:rsidRDefault="00074BAA" w:rsidP="00B51A27">
            <w:pPr>
              <w:rPr>
                <w:rFonts w:cs="Arial"/>
                <w:sz w:val="18"/>
                <w:szCs w:val="18"/>
              </w:rPr>
            </w:pPr>
            <w:r w:rsidRPr="0040116E">
              <w:rPr>
                <w:sz w:val="18"/>
                <w:szCs w:val="18"/>
              </w:rPr>
              <w:t>n/a</w:t>
            </w:r>
          </w:p>
        </w:tc>
        <w:tc>
          <w:tcPr>
            <w:tcW w:w="921" w:type="dxa"/>
          </w:tcPr>
          <w:p w14:paraId="592C482C" w14:textId="77777777" w:rsidR="00074BAA" w:rsidRPr="00D36DF6" w:rsidRDefault="00074BAA" w:rsidP="00B51A27">
            <w:pPr>
              <w:rPr>
                <w:sz w:val="18"/>
                <w:szCs w:val="18"/>
              </w:rPr>
            </w:pPr>
            <w:r w:rsidRPr="005D2D03">
              <w:rPr>
                <w:sz w:val="18"/>
                <w:szCs w:val="18"/>
              </w:rPr>
              <w:t>1.28 ± 0.42</w:t>
            </w:r>
          </w:p>
        </w:tc>
        <w:tc>
          <w:tcPr>
            <w:tcW w:w="921" w:type="dxa"/>
          </w:tcPr>
          <w:p w14:paraId="12D99E79" w14:textId="77777777" w:rsidR="00074BAA" w:rsidRPr="007E3578" w:rsidRDefault="00074BAA" w:rsidP="00B51A27">
            <w:pPr>
              <w:rPr>
                <w:sz w:val="18"/>
                <w:szCs w:val="18"/>
              </w:rPr>
            </w:pPr>
            <w:r w:rsidRPr="007E3578">
              <w:rPr>
                <w:sz w:val="18"/>
                <w:szCs w:val="18"/>
              </w:rPr>
              <w:t>1.50 ± 0.59</w:t>
            </w:r>
          </w:p>
        </w:tc>
        <w:tc>
          <w:tcPr>
            <w:tcW w:w="921" w:type="dxa"/>
          </w:tcPr>
          <w:p w14:paraId="41A13D4E" w14:textId="77777777" w:rsidR="00074BAA" w:rsidRPr="00E52ACD" w:rsidRDefault="00074BAA" w:rsidP="00B51A27">
            <w:pPr>
              <w:rPr>
                <w:sz w:val="18"/>
                <w:szCs w:val="18"/>
              </w:rPr>
            </w:pPr>
            <w:r w:rsidRPr="00E52ACD">
              <w:rPr>
                <w:sz w:val="18"/>
                <w:szCs w:val="18"/>
              </w:rPr>
              <w:t xml:space="preserve">0.08 </w:t>
            </w:r>
            <w:r w:rsidRPr="00E52ACD">
              <w:rPr>
                <w:rFonts w:cs="Arial"/>
                <w:sz w:val="18"/>
                <w:szCs w:val="18"/>
              </w:rPr>
              <w:t>± 0.10</w:t>
            </w:r>
          </w:p>
        </w:tc>
        <w:tc>
          <w:tcPr>
            <w:tcW w:w="922" w:type="dxa"/>
          </w:tcPr>
          <w:p w14:paraId="61B9BFC3" w14:textId="77777777" w:rsidR="00074BAA" w:rsidRPr="005D2D03" w:rsidRDefault="00074BAA" w:rsidP="00B51A27">
            <w:pPr>
              <w:rPr>
                <w:sz w:val="18"/>
                <w:szCs w:val="18"/>
              </w:rPr>
            </w:pPr>
            <w:r w:rsidRPr="005D2D03">
              <w:rPr>
                <w:sz w:val="18"/>
                <w:szCs w:val="18"/>
                <w:lang w:bidi="ar-SA"/>
              </w:rPr>
              <w:t>0.54</w:t>
            </w:r>
          </w:p>
        </w:tc>
      </w:tr>
    </w:tbl>
    <w:p w14:paraId="17B2F1D7" w14:textId="0A7FFEFF" w:rsidR="00074BAA" w:rsidRPr="008D35ED" w:rsidRDefault="00074BAA" w:rsidP="00074BAA">
      <w:pPr>
        <w:rPr>
          <w:strike/>
          <w:sz w:val="18"/>
          <w:szCs w:val="18"/>
        </w:rPr>
      </w:pPr>
      <w:r w:rsidRPr="00556FC5">
        <w:rPr>
          <w:sz w:val="18"/>
          <w:szCs w:val="18"/>
        </w:rPr>
        <w:t xml:space="preserve">GOS, galacto-oligosaccharide; g, </w:t>
      </w:r>
      <w:r w:rsidRPr="008D35ED">
        <w:rPr>
          <w:sz w:val="18"/>
          <w:szCs w:val="18"/>
        </w:rPr>
        <w:t>gram; L, litre; LDL</w:t>
      </w:r>
      <w:r w:rsidRPr="008D35ED">
        <w:rPr>
          <w:rFonts w:cs="Arial"/>
          <w:sz w:val="18"/>
          <w:szCs w:val="18"/>
        </w:rPr>
        <w:t>, low density lipoprotein cholesterol;</w:t>
      </w:r>
      <w:r>
        <w:rPr>
          <w:sz w:val="18"/>
          <w:szCs w:val="18"/>
        </w:rPr>
        <w:t xml:space="preserve"> HDL</w:t>
      </w:r>
      <w:r w:rsidRPr="008D35ED">
        <w:rPr>
          <w:sz w:val="18"/>
          <w:szCs w:val="18"/>
        </w:rPr>
        <w:t>, high density lipoprotein cholesterol; n/a, not applicable or not available; SD, standard deviation; SE, standard error of the mean; NSD, not significantly different (</w:t>
      </w:r>
      <w:r w:rsidRPr="008D35ED">
        <w:rPr>
          <w:i/>
          <w:sz w:val="18"/>
          <w:szCs w:val="18"/>
        </w:rPr>
        <w:t>P</w:t>
      </w:r>
      <w:r w:rsidRPr="008D35ED">
        <w:rPr>
          <w:sz w:val="18"/>
          <w:szCs w:val="18"/>
        </w:rPr>
        <w:t>&gt;0.05</w:t>
      </w:r>
      <w:r w:rsidRPr="008D35ED">
        <w:rPr>
          <w:sz w:val="18"/>
          <w:szCs w:val="18"/>
          <w:vertAlign w:val="superscript"/>
        </w:rPr>
        <w:t>8</w:t>
      </w:r>
      <w:r w:rsidRPr="008D35ED">
        <w:rPr>
          <w:sz w:val="18"/>
          <w:szCs w:val="18"/>
        </w:rPr>
        <w:t>).</w:t>
      </w:r>
    </w:p>
    <w:p w14:paraId="46F4858B" w14:textId="7BAF8710" w:rsidR="00074BAA" w:rsidRDefault="00074BAA" w:rsidP="00074BAA">
      <w:pPr>
        <w:rPr>
          <w:sz w:val="18"/>
          <w:szCs w:val="18"/>
          <w:lang w:bidi="ar-SA"/>
        </w:rPr>
      </w:pPr>
      <w:r w:rsidRPr="008D35ED">
        <w:rPr>
          <w:sz w:val="18"/>
          <w:szCs w:val="18"/>
          <w:vertAlign w:val="superscript"/>
        </w:rPr>
        <w:t>1</w:t>
      </w:r>
      <w:r w:rsidRPr="008D35ED">
        <w:rPr>
          <w:sz w:val="18"/>
          <w:szCs w:val="18"/>
        </w:rPr>
        <w:t xml:space="preserve"> Fasting status (triglycerides): </w:t>
      </w:r>
      <w:r w:rsidRPr="008D35ED">
        <w:rPr>
          <w:sz w:val="18"/>
          <w:szCs w:val="18"/>
          <w:lang w:bidi="ar-SA"/>
        </w:rPr>
        <w:t xml:space="preserve">fasting (van Dokkum et al. 1999, Canfora et al. 2017, and </w:t>
      </w:r>
      <w:r w:rsidR="00A407D3">
        <w:rPr>
          <w:sz w:val="18"/>
          <w:szCs w:val="18"/>
          <w:lang w:bidi="ar-SA"/>
        </w:rPr>
        <w:t>Pedersen</w:t>
      </w:r>
      <w:r w:rsidRPr="008D35ED">
        <w:rPr>
          <w:sz w:val="18"/>
          <w:szCs w:val="18"/>
          <w:lang w:bidi="ar-SA"/>
        </w:rPr>
        <w:t xml:space="preserve"> et al. 2016), and </w:t>
      </w:r>
      <w:r>
        <w:rPr>
          <w:sz w:val="18"/>
          <w:szCs w:val="18"/>
          <w:lang w:bidi="ar-SA"/>
        </w:rPr>
        <w:t>assumed to be fasting</w:t>
      </w:r>
      <w:r w:rsidRPr="008D35ED">
        <w:rPr>
          <w:sz w:val="18"/>
          <w:szCs w:val="18"/>
          <w:lang w:bidi="ar-SA"/>
        </w:rPr>
        <w:t xml:space="preserve"> (Vulevic et al. 2013).</w:t>
      </w:r>
    </w:p>
    <w:p w14:paraId="2DB4076E" w14:textId="253CD884" w:rsidR="00074BAA" w:rsidRPr="00CF25EA" w:rsidRDefault="00074BAA" w:rsidP="00074BAA">
      <w:pPr>
        <w:rPr>
          <w:sz w:val="18"/>
          <w:szCs w:val="18"/>
        </w:rPr>
      </w:pPr>
      <w:r w:rsidRPr="008D35ED">
        <w:rPr>
          <w:sz w:val="18"/>
          <w:szCs w:val="18"/>
          <w:vertAlign w:val="superscript"/>
        </w:rPr>
        <w:t xml:space="preserve">2 </w:t>
      </w:r>
      <w:r w:rsidRPr="008D35ED">
        <w:rPr>
          <w:sz w:val="18"/>
          <w:szCs w:val="18"/>
        </w:rPr>
        <w:t>SD for van Dokkum et al. (1999), Vulevic</w:t>
      </w:r>
      <w:r>
        <w:rPr>
          <w:sz w:val="18"/>
          <w:szCs w:val="18"/>
        </w:rPr>
        <w:t xml:space="preserve"> et al. (2008), Vulevic et al. (2013), and </w:t>
      </w:r>
      <w:r>
        <w:rPr>
          <w:sz w:val="18"/>
          <w:szCs w:val="18"/>
          <w:lang w:bidi="ar-SA"/>
        </w:rPr>
        <w:t>Canfora et al. (2017)</w:t>
      </w:r>
      <w:r w:rsidRPr="00CF25EA">
        <w:rPr>
          <w:sz w:val="18"/>
          <w:szCs w:val="18"/>
        </w:rPr>
        <w:t xml:space="preserve">. </w:t>
      </w:r>
      <w:r>
        <w:rPr>
          <w:sz w:val="18"/>
          <w:szCs w:val="18"/>
        </w:rPr>
        <w:t>SE</w:t>
      </w:r>
      <w:r w:rsidRPr="00CF25EA">
        <w:rPr>
          <w:sz w:val="18"/>
          <w:szCs w:val="18"/>
        </w:rPr>
        <w:t xml:space="preserve"> for </w:t>
      </w:r>
      <w:r w:rsidR="00A407D3">
        <w:rPr>
          <w:sz w:val="18"/>
          <w:szCs w:val="18"/>
        </w:rPr>
        <w:t>Pedersen</w:t>
      </w:r>
      <w:r w:rsidRPr="00CF25EA">
        <w:rPr>
          <w:sz w:val="18"/>
          <w:szCs w:val="18"/>
        </w:rPr>
        <w:t xml:space="preserve"> et al. (2016).</w:t>
      </w:r>
    </w:p>
    <w:p w14:paraId="6E8DC9F2" w14:textId="1A32A013" w:rsidR="00074BAA" w:rsidRPr="0040116E" w:rsidRDefault="00074BAA" w:rsidP="00074BAA">
      <w:pPr>
        <w:rPr>
          <w:strike/>
          <w:sz w:val="18"/>
          <w:szCs w:val="18"/>
        </w:rPr>
      </w:pPr>
      <w:r w:rsidRPr="00FA492E">
        <w:rPr>
          <w:sz w:val="18"/>
          <w:szCs w:val="18"/>
          <w:vertAlign w:val="superscript"/>
        </w:rPr>
        <w:t xml:space="preserve">3 </w:t>
      </w:r>
      <w:r w:rsidRPr="00FA492E">
        <w:rPr>
          <w:sz w:val="18"/>
          <w:szCs w:val="18"/>
        </w:rPr>
        <w:t xml:space="preserve">Represents </w:t>
      </w:r>
      <w:r>
        <w:rPr>
          <w:sz w:val="18"/>
          <w:szCs w:val="18"/>
        </w:rPr>
        <w:t>blood lipid values</w:t>
      </w:r>
      <w:r w:rsidRPr="00FA492E">
        <w:rPr>
          <w:sz w:val="18"/>
          <w:szCs w:val="18"/>
        </w:rPr>
        <w:t xml:space="preserve"> at end of the intervention period for </w:t>
      </w:r>
      <w:r w:rsidRPr="00CF25EA">
        <w:rPr>
          <w:sz w:val="18"/>
          <w:szCs w:val="18"/>
        </w:rPr>
        <w:t>the crossover studies (van Dokkum et al. 1999</w:t>
      </w:r>
      <w:r>
        <w:rPr>
          <w:sz w:val="18"/>
          <w:szCs w:val="18"/>
        </w:rPr>
        <w:t>, Vulevic et al. 2008,</w:t>
      </w:r>
      <w:r w:rsidRPr="00CF25EA">
        <w:rPr>
          <w:sz w:val="18"/>
          <w:szCs w:val="18"/>
        </w:rPr>
        <w:t xml:space="preserve"> </w:t>
      </w:r>
      <w:r w:rsidRPr="00FA492E">
        <w:rPr>
          <w:sz w:val="18"/>
          <w:szCs w:val="18"/>
        </w:rPr>
        <w:t xml:space="preserve">and </w:t>
      </w:r>
      <w:r>
        <w:rPr>
          <w:sz w:val="18"/>
          <w:szCs w:val="18"/>
        </w:rPr>
        <w:t>Vulevic et al. 2013</w:t>
      </w:r>
      <w:r w:rsidRPr="00CF25EA">
        <w:rPr>
          <w:sz w:val="18"/>
          <w:szCs w:val="18"/>
        </w:rPr>
        <w:t xml:space="preserve">) </w:t>
      </w:r>
      <w:r w:rsidRPr="00FA492E">
        <w:rPr>
          <w:sz w:val="18"/>
          <w:szCs w:val="18"/>
        </w:rPr>
        <w:t>and parallel randomised controlled trial (</w:t>
      </w:r>
      <w:r w:rsidR="00A407D3">
        <w:rPr>
          <w:sz w:val="18"/>
          <w:szCs w:val="18"/>
        </w:rPr>
        <w:t>Pedersen</w:t>
      </w:r>
      <w:r w:rsidRPr="00E44B71">
        <w:rPr>
          <w:sz w:val="18"/>
          <w:szCs w:val="18"/>
        </w:rPr>
        <w:t xml:space="preserve"> et</w:t>
      </w:r>
      <w:r>
        <w:rPr>
          <w:sz w:val="18"/>
          <w:szCs w:val="18"/>
        </w:rPr>
        <w:t xml:space="preserve"> al. </w:t>
      </w:r>
      <w:r w:rsidRPr="00E44B71">
        <w:rPr>
          <w:sz w:val="18"/>
          <w:szCs w:val="18"/>
        </w:rPr>
        <w:t>2016</w:t>
      </w:r>
      <w:r>
        <w:rPr>
          <w:sz w:val="18"/>
          <w:szCs w:val="18"/>
        </w:rPr>
        <w:t xml:space="preserve">, and </w:t>
      </w:r>
      <w:r>
        <w:rPr>
          <w:sz w:val="18"/>
          <w:szCs w:val="18"/>
          <w:lang w:bidi="ar-SA"/>
        </w:rPr>
        <w:t>Canfora et al. 2017</w:t>
      </w:r>
      <w:r w:rsidRPr="00FA492E">
        <w:rPr>
          <w:sz w:val="18"/>
          <w:szCs w:val="18"/>
        </w:rPr>
        <w:t>).</w:t>
      </w:r>
    </w:p>
    <w:p w14:paraId="50893197" w14:textId="0ED4A09E" w:rsidR="00074BAA" w:rsidRPr="00D44A43" w:rsidRDefault="00074BAA" w:rsidP="00074BAA">
      <w:pPr>
        <w:rPr>
          <w:strike/>
          <w:sz w:val="18"/>
          <w:szCs w:val="18"/>
        </w:rPr>
      </w:pPr>
      <w:r w:rsidRPr="00EC6DEB">
        <w:rPr>
          <w:sz w:val="18"/>
          <w:szCs w:val="18"/>
          <w:vertAlign w:val="superscript"/>
        </w:rPr>
        <w:t>4</w:t>
      </w:r>
      <w:r w:rsidRPr="00EC6DEB">
        <w:rPr>
          <w:sz w:val="18"/>
          <w:szCs w:val="18"/>
        </w:rPr>
        <w:t xml:space="preserve"> Calculated mean difference = mean (intervention </w:t>
      </w:r>
      <w:r w:rsidR="00B92662">
        <w:rPr>
          <w:sz w:val="18"/>
          <w:szCs w:val="18"/>
        </w:rPr>
        <w:t>follow-up</w:t>
      </w:r>
      <w:r w:rsidRPr="00EC6DEB">
        <w:rPr>
          <w:sz w:val="18"/>
          <w:szCs w:val="18"/>
        </w:rPr>
        <w:t xml:space="preserve">) – mean (placebo </w:t>
      </w:r>
      <w:r w:rsidR="00B92662">
        <w:rPr>
          <w:sz w:val="18"/>
          <w:szCs w:val="18"/>
        </w:rPr>
        <w:t>follow-up</w:t>
      </w:r>
      <w:r w:rsidRPr="00EC6DEB">
        <w:rPr>
          <w:sz w:val="18"/>
          <w:szCs w:val="18"/>
        </w:rPr>
        <w:t xml:space="preserve">) for one crossover study (van Dokkum et al. 1999). Calculated mean difference = (mean (intervention </w:t>
      </w:r>
      <w:r w:rsidR="00B92662">
        <w:rPr>
          <w:sz w:val="18"/>
          <w:szCs w:val="18"/>
        </w:rPr>
        <w:t>follow-up</w:t>
      </w:r>
      <w:r w:rsidRPr="00EC6DEB">
        <w:rPr>
          <w:sz w:val="18"/>
          <w:szCs w:val="18"/>
        </w:rPr>
        <w:t xml:space="preserve">) – mean (intervention baseline)) – (mean (placebo </w:t>
      </w:r>
      <w:r w:rsidR="00B92662">
        <w:rPr>
          <w:sz w:val="18"/>
          <w:szCs w:val="18"/>
        </w:rPr>
        <w:t>follow-up</w:t>
      </w:r>
      <w:r w:rsidRPr="00EC6DEB">
        <w:rPr>
          <w:sz w:val="18"/>
          <w:szCs w:val="18"/>
        </w:rPr>
        <w:t>) – mean (placebo baseline)) for two crossover studies (Vulevic et al. 2008 and Vulevic et al. 2013) and two parallel randomised con</w:t>
      </w:r>
      <w:r w:rsidRPr="00D44A43">
        <w:rPr>
          <w:sz w:val="18"/>
          <w:szCs w:val="18"/>
        </w:rPr>
        <w:t>trolled trials (</w:t>
      </w:r>
      <w:r w:rsidR="00A407D3">
        <w:rPr>
          <w:sz w:val="18"/>
          <w:szCs w:val="18"/>
        </w:rPr>
        <w:t>Pedersen</w:t>
      </w:r>
      <w:r w:rsidRPr="00D44A43">
        <w:rPr>
          <w:sz w:val="18"/>
          <w:szCs w:val="18"/>
        </w:rPr>
        <w:t xml:space="preserve"> et al. 2016 and </w:t>
      </w:r>
      <w:r w:rsidRPr="00D44A43">
        <w:rPr>
          <w:sz w:val="18"/>
          <w:szCs w:val="18"/>
          <w:lang w:bidi="ar-SA"/>
        </w:rPr>
        <w:t>Canfora et al. 2017</w:t>
      </w:r>
      <w:r w:rsidRPr="00D44A43">
        <w:rPr>
          <w:sz w:val="18"/>
          <w:szCs w:val="18"/>
        </w:rPr>
        <w:t>).</w:t>
      </w:r>
    </w:p>
    <w:p w14:paraId="3A403E41" w14:textId="10A7462A" w:rsidR="00074BAA" w:rsidRPr="00EC6DEB" w:rsidRDefault="00074BAA" w:rsidP="00074BAA">
      <w:pPr>
        <w:rPr>
          <w:sz w:val="18"/>
          <w:szCs w:val="18"/>
        </w:rPr>
      </w:pPr>
      <w:r w:rsidRPr="00D44A43">
        <w:rPr>
          <w:sz w:val="18"/>
          <w:szCs w:val="18"/>
          <w:vertAlign w:val="superscript"/>
        </w:rPr>
        <w:t xml:space="preserve">5 </w:t>
      </w:r>
      <w:r w:rsidRPr="00D44A43">
        <w:rPr>
          <w:sz w:val="18"/>
          <w:szCs w:val="18"/>
        </w:rPr>
        <w:t xml:space="preserve">All SEs were calculated. </w:t>
      </w:r>
      <w:r w:rsidR="0075189F">
        <w:rPr>
          <w:sz w:val="18"/>
          <w:szCs w:val="18"/>
        </w:rPr>
        <w:t xml:space="preserve">Appendix </w:t>
      </w:r>
      <w:r w:rsidRPr="00D44A43">
        <w:rPr>
          <w:sz w:val="18"/>
          <w:szCs w:val="18"/>
        </w:rPr>
        <w:t>Section 2.6 outlines</w:t>
      </w:r>
      <w:r w:rsidRPr="00EC6DEB">
        <w:rPr>
          <w:sz w:val="18"/>
          <w:szCs w:val="18"/>
        </w:rPr>
        <w:t xml:space="preserve"> the data and formulae used to calculate the SE.</w:t>
      </w:r>
    </w:p>
    <w:p w14:paraId="4DA119A1" w14:textId="0EF4C799" w:rsidR="00074BAA" w:rsidRDefault="00074BAA" w:rsidP="00074BAA">
      <w:pPr>
        <w:rPr>
          <w:sz w:val="18"/>
          <w:szCs w:val="18"/>
        </w:rPr>
      </w:pPr>
      <w:r w:rsidRPr="00190051">
        <w:rPr>
          <w:sz w:val="18"/>
          <w:szCs w:val="18"/>
          <w:vertAlign w:val="superscript"/>
        </w:rPr>
        <w:t>6</w:t>
      </w:r>
      <w:r w:rsidRPr="00690ACF">
        <w:rPr>
          <w:sz w:val="18"/>
          <w:szCs w:val="18"/>
          <w:vertAlign w:val="superscript"/>
        </w:rPr>
        <w:t xml:space="preserve"> </w:t>
      </w:r>
      <w:r w:rsidRPr="00690ACF">
        <w:rPr>
          <w:sz w:val="18"/>
          <w:szCs w:val="18"/>
        </w:rPr>
        <w:t>Reflects statistical (n</w:t>
      </w:r>
      <w:r w:rsidRPr="00CF25EA">
        <w:rPr>
          <w:sz w:val="18"/>
          <w:szCs w:val="18"/>
        </w:rPr>
        <w:t>on-)significance of the difference between placebo and intervention group at follow-up (van Dokkum et al. 1999</w:t>
      </w:r>
      <w:r>
        <w:rPr>
          <w:sz w:val="18"/>
          <w:szCs w:val="18"/>
        </w:rPr>
        <w:t>, Vulevic et al. 2008,</w:t>
      </w:r>
      <w:r w:rsidRPr="00CF25EA">
        <w:rPr>
          <w:sz w:val="18"/>
          <w:szCs w:val="18"/>
        </w:rPr>
        <w:t xml:space="preserve"> and</w:t>
      </w:r>
      <w:r w:rsidRPr="00FA492E">
        <w:rPr>
          <w:sz w:val="18"/>
          <w:szCs w:val="18"/>
        </w:rPr>
        <w:t xml:space="preserve"> </w:t>
      </w:r>
      <w:r>
        <w:rPr>
          <w:sz w:val="18"/>
          <w:szCs w:val="18"/>
        </w:rPr>
        <w:t>Vulevic et al. 2013)</w:t>
      </w:r>
      <w:r w:rsidRPr="00690ACF">
        <w:rPr>
          <w:sz w:val="18"/>
          <w:szCs w:val="18"/>
        </w:rPr>
        <w:t xml:space="preserve"> or statistical (non-)significance of the difference in changes </w:t>
      </w:r>
      <w:r>
        <w:rPr>
          <w:sz w:val="18"/>
          <w:szCs w:val="18"/>
        </w:rPr>
        <w:t>(</w:t>
      </w:r>
      <w:r w:rsidRPr="00690ACF">
        <w:rPr>
          <w:sz w:val="18"/>
          <w:szCs w:val="18"/>
        </w:rPr>
        <w:t xml:space="preserve">from baseline to </w:t>
      </w:r>
      <w:r w:rsidR="00B92662">
        <w:rPr>
          <w:sz w:val="18"/>
          <w:szCs w:val="18"/>
        </w:rPr>
        <w:t>follow-up</w:t>
      </w:r>
      <w:r>
        <w:rPr>
          <w:sz w:val="18"/>
          <w:szCs w:val="18"/>
        </w:rPr>
        <w:t>)</w:t>
      </w:r>
      <w:r w:rsidRPr="00690ACF">
        <w:rPr>
          <w:sz w:val="18"/>
          <w:szCs w:val="18"/>
        </w:rPr>
        <w:t xml:space="preserve"> between groups, </w:t>
      </w:r>
      <w:r>
        <w:rPr>
          <w:sz w:val="18"/>
          <w:szCs w:val="18"/>
        </w:rPr>
        <w:t>using a 2-way repeated-measures analysis of variance (Canfora et al. 2017) or</w:t>
      </w:r>
      <w:r w:rsidRPr="00690ACF">
        <w:rPr>
          <w:sz w:val="18"/>
          <w:szCs w:val="18"/>
        </w:rPr>
        <w:t xml:space="preserve"> wi</w:t>
      </w:r>
      <w:r>
        <w:rPr>
          <w:sz w:val="18"/>
          <w:szCs w:val="18"/>
        </w:rPr>
        <w:t>th baseline values as covariate (ANC</w:t>
      </w:r>
      <w:r w:rsidRPr="00CF25EA">
        <w:rPr>
          <w:sz w:val="18"/>
          <w:szCs w:val="18"/>
        </w:rPr>
        <w:t xml:space="preserve">OVA; </w:t>
      </w:r>
      <w:r w:rsidR="00A407D3">
        <w:rPr>
          <w:sz w:val="18"/>
          <w:szCs w:val="18"/>
        </w:rPr>
        <w:t>Pedersen</w:t>
      </w:r>
      <w:r w:rsidRPr="00CF25EA">
        <w:rPr>
          <w:sz w:val="18"/>
          <w:szCs w:val="18"/>
        </w:rPr>
        <w:t xml:space="preserve"> et al. 2016). Exact </w:t>
      </w:r>
      <w:r w:rsidRPr="00CF25EA">
        <w:rPr>
          <w:i/>
          <w:sz w:val="18"/>
          <w:szCs w:val="18"/>
        </w:rPr>
        <w:t xml:space="preserve">P </w:t>
      </w:r>
      <w:r w:rsidRPr="00CF25EA">
        <w:rPr>
          <w:sz w:val="18"/>
          <w:szCs w:val="18"/>
        </w:rPr>
        <w:t>values are not provided for van Dokkum et al. (1999)</w:t>
      </w:r>
      <w:r>
        <w:rPr>
          <w:sz w:val="18"/>
          <w:szCs w:val="18"/>
        </w:rPr>
        <w:t>,</w:t>
      </w:r>
      <w:r w:rsidRPr="001A0FC4">
        <w:rPr>
          <w:sz w:val="18"/>
          <w:szCs w:val="18"/>
        </w:rPr>
        <w:t xml:space="preserve"> </w:t>
      </w:r>
      <w:r>
        <w:rPr>
          <w:sz w:val="18"/>
          <w:szCs w:val="18"/>
        </w:rPr>
        <w:t>Vulevic et al. (2008),</w:t>
      </w:r>
      <w:r w:rsidRPr="00CF25EA">
        <w:rPr>
          <w:sz w:val="18"/>
          <w:szCs w:val="18"/>
        </w:rPr>
        <w:t xml:space="preserve"> and </w:t>
      </w:r>
      <w:r>
        <w:rPr>
          <w:sz w:val="18"/>
          <w:szCs w:val="18"/>
        </w:rPr>
        <w:t>Vulevic et al. (2013)</w:t>
      </w:r>
      <w:r w:rsidRPr="00CF25EA">
        <w:rPr>
          <w:sz w:val="18"/>
          <w:szCs w:val="18"/>
        </w:rPr>
        <w:t>.</w:t>
      </w:r>
    </w:p>
    <w:p w14:paraId="38612369" w14:textId="0E8BBB2A" w:rsidR="00074BAA" w:rsidRPr="004C2FF8" w:rsidRDefault="00074BAA" w:rsidP="00074BAA">
      <w:pPr>
        <w:rPr>
          <w:color w:val="FF0000"/>
          <w:sz w:val="18"/>
          <w:szCs w:val="18"/>
        </w:rPr>
      </w:pPr>
      <w:r>
        <w:rPr>
          <w:sz w:val="18"/>
          <w:szCs w:val="18"/>
          <w:vertAlign w:val="superscript"/>
        </w:rPr>
        <w:t>7</w:t>
      </w:r>
      <w:r>
        <w:rPr>
          <w:sz w:val="18"/>
          <w:szCs w:val="18"/>
        </w:rPr>
        <w:t xml:space="preserve"> These values represent the </w:t>
      </w:r>
      <w:r w:rsidR="00B92662">
        <w:rPr>
          <w:sz w:val="18"/>
          <w:szCs w:val="18"/>
        </w:rPr>
        <w:t xml:space="preserve">follow-up </w:t>
      </w:r>
      <w:r w:rsidR="007F0E9F">
        <w:rPr>
          <w:sz w:val="18"/>
          <w:szCs w:val="18"/>
        </w:rPr>
        <w:t>time points</w:t>
      </w:r>
      <w:r>
        <w:rPr>
          <w:sz w:val="18"/>
          <w:szCs w:val="18"/>
        </w:rPr>
        <w:t xml:space="preserve"> at week 10 and 12 for Vulevic et </w:t>
      </w:r>
      <w:r w:rsidRPr="00622C29">
        <w:rPr>
          <w:sz w:val="18"/>
          <w:szCs w:val="18"/>
        </w:rPr>
        <w:t>al. (2008) and Vulev</w:t>
      </w:r>
      <w:r>
        <w:rPr>
          <w:sz w:val="18"/>
          <w:szCs w:val="18"/>
        </w:rPr>
        <w:t>ic et al. (2013), respectively.</w:t>
      </w:r>
    </w:p>
    <w:p w14:paraId="01983888" w14:textId="77777777" w:rsidR="00074BAA" w:rsidRPr="00FD4368" w:rsidRDefault="00074BAA" w:rsidP="00074BAA">
      <w:pPr>
        <w:pStyle w:val="FootnoteText"/>
        <w:rPr>
          <w:sz w:val="18"/>
          <w:szCs w:val="18"/>
        </w:rPr>
      </w:pPr>
      <w:r w:rsidRPr="004C2FF8">
        <w:rPr>
          <w:sz w:val="18"/>
          <w:szCs w:val="18"/>
          <w:vertAlign w:val="superscript"/>
        </w:rPr>
        <w:t>8</w:t>
      </w:r>
      <w:r w:rsidRPr="004C2FF8">
        <w:rPr>
          <w:sz w:val="18"/>
          <w:szCs w:val="18"/>
        </w:rPr>
        <w:t xml:space="preserve"> For</w:t>
      </w:r>
      <w:r w:rsidRPr="004C2FF8">
        <w:rPr>
          <w:i/>
          <w:sz w:val="18"/>
          <w:szCs w:val="18"/>
        </w:rPr>
        <w:t xml:space="preserve"> </w:t>
      </w:r>
      <w:r w:rsidRPr="004C2FF8">
        <w:rPr>
          <w:sz w:val="18"/>
          <w:szCs w:val="18"/>
        </w:rPr>
        <w:t>Vulevic et al. (2013),</w:t>
      </w:r>
      <w:r w:rsidRPr="00F444FD">
        <w:rPr>
          <w:sz w:val="18"/>
          <w:szCs w:val="18"/>
        </w:rPr>
        <w:t xml:space="preserve"> </w:t>
      </w:r>
      <w:r w:rsidRPr="00FD4368">
        <w:rPr>
          <w:i/>
          <w:sz w:val="18"/>
          <w:szCs w:val="18"/>
          <w:lang w:val="en-AU"/>
        </w:rPr>
        <w:t xml:space="preserve">P </w:t>
      </w:r>
      <w:r w:rsidRPr="00FD4368">
        <w:rPr>
          <w:sz w:val="18"/>
          <w:szCs w:val="18"/>
          <w:lang w:val="en-AU"/>
        </w:rPr>
        <w:t xml:space="preserve">values were corrected for multiple testing and significance was set at </w:t>
      </w:r>
      <w:r w:rsidRPr="00FD4368">
        <w:rPr>
          <w:i/>
          <w:sz w:val="18"/>
          <w:szCs w:val="18"/>
          <w:lang w:val="en-AU"/>
        </w:rPr>
        <w:t>P</w:t>
      </w:r>
      <w:r w:rsidRPr="00FD4368">
        <w:rPr>
          <w:sz w:val="18"/>
          <w:szCs w:val="18"/>
          <w:lang w:val="en-AU"/>
        </w:rPr>
        <w:t>&lt;0.005 after Bonferroni adjustment.</w:t>
      </w:r>
    </w:p>
    <w:p w14:paraId="47BD7486" w14:textId="77777777" w:rsidR="00074BAA" w:rsidRPr="004808E4" w:rsidRDefault="00074BAA" w:rsidP="00074BAA">
      <w:pPr>
        <w:pStyle w:val="FootnoteText"/>
        <w:rPr>
          <w:sz w:val="18"/>
          <w:szCs w:val="18"/>
        </w:rPr>
      </w:pPr>
      <w:r w:rsidRPr="004808E4">
        <w:rPr>
          <w:sz w:val="18"/>
          <w:szCs w:val="18"/>
          <w:vertAlign w:val="superscript"/>
        </w:rPr>
        <w:t xml:space="preserve">9 </w:t>
      </w:r>
      <w:r w:rsidRPr="004808E4">
        <w:rPr>
          <w:sz w:val="18"/>
          <w:szCs w:val="18"/>
        </w:rPr>
        <w:t xml:space="preserve">Two </w:t>
      </w:r>
      <w:r w:rsidRPr="004808E4">
        <w:rPr>
          <w:i/>
          <w:sz w:val="18"/>
          <w:szCs w:val="18"/>
        </w:rPr>
        <w:t>P</w:t>
      </w:r>
      <w:r w:rsidRPr="004808E4">
        <w:rPr>
          <w:sz w:val="18"/>
          <w:szCs w:val="18"/>
        </w:rPr>
        <w:t xml:space="preserve"> values are provided by </w:t>
      </w:r>
      <w:r w:rsidRPr="004808E4">
        <w:rPr>
          <w:sz w:val="18"/>
          <w:szCs w:val="18"/>
          <w:lang w:bidi="ar-SA"/>
        </w:rPr>
        <w:t>Vulevic et al. (2013)</w:t>
      </w:r>
      <w:r w:rsidRPr="004808E4">
        <w:rPr>
          <w:sz w:val="18"/>
          <w:szCs w:val="18"/>
        </w:rPr>
        <w:t xml:space="preserve">: </w:t>
      </w:r>
      <w:r w:rsidRPr="004808E4">
        <w:rPr>
          <w:i/>
          <w:sz w:val="18"/>
          <w:szCs w:val="18"/>
        </w:rPr>
        <w:t>P</w:t>
      </w:r>
      <w:r w:rsidRPr="004808E4">
        <w:rPr>
          <w:sz w:val="18"/>
          <w:szCs w:val="18"/>
        </w:rPr>
        <w:t>&lt;0.0001 (tabulated)</w:t>
      </w:r>
      <w:r>
        <w:rPr>
          <w:sz w:val="18"/>
          <w:szCs w:val="18"/>
        </w:rPr>
        <w:t>;</w:t>
      </w:r>
      <w:r w:rsidRPr="004808E4">
        <w:rPr>
          <w:sz w:val="18"/>
          <w:szCs w:val="18"/>
        </w:rPr>
        <w:t xml:space="preserve"> and</w:t>
      </w:r>
      <w:r>
        <w:rPr>
          <w:sz w:val="18"/>
          <w:szCs w:val="18"/>
        </w:rPr>
        <w:t>,</w:t>
      </w:r>
      <w:r w:rsidRPr="004808E4">
        <w:rPr>
          <w:sz w:val="18"/>
          <w:szCs w:val="18"/>
        </w:rPr>
        <w:t xml:space="preserve"> </w:t>
      </w:r>
      <w:r w:rsidRPr="004808E4">
        <w:rPr>
          <w:i/>
          <w:sz w:val="18"/>
          <w:szCs w:val="18"/>
        </w:rPr>
        <w:t>P</w:t>
      </w:r>
      <w:r w:rsidRPr="004808E4">
        <w:rPr>
          <w:sz w:val="18"/>
          <w:szCs w:val="18"/>
        </w:rPr>
        <w:t>&lt;0.001 (in text).</w:t>
      </w:r>
    </w:p>
    <w:p w14:paraId="4A2C1E95" w14:textId="77777777" w:rsidR="00074BAA" w:rsidRPr="00E16822" w:rsidRDefault="00074BAA" w:rsidP="00074BAA">
      <w:pPr>
        <w:pStyle w:val="FootnoteText"/>
        <w:rPr>
          <w:sz w:val="18"/>
          <w:szCs w:val="18"/>
        </w:rPr>
        <w:sectPr w:rsidR="00074BAA" w:rsidRPr="00E16822" w:rsidSect="000B7375">
          <w:pgSz w:w="16838" w:h="11906" w:orient="landscape"/>
          <w:pgMar w:top="1418" w:right="1418" w:bottom="1418" w:left="1418" w:header="709" w:footer="709" w:gutter="0"/>
          <w:cols w:space="708"/>
          <w:docGrid w:linePitch="360"/>
        </w:sectPr>
      </w:pPr>
      <w:r w:rsidRPr="004808E4">
        <w:rPr>
          <w:sz w:val="18"/>
          <w:szCs w:val="18"/>
          <w:vertAlign w:val="superscript"/>
        </w:rPr>
        <w:t xml:space="preserve">10 </w:t>
      </w:r>
      <w:r w:rsidRPr="004808E4">
        <w:rPr>
          <w:sz w:val="18"/>
          <w:szCs w:val="18"/>
        </w:rPr>
        <w:t xml:space="preserve">Two </w:t>
      </w:r>
      <w:r w:rsidRPr="004808E4">
        <w:rPr>
          <w:i/>
          <w:sz w:val="18"/>
          <w:szCs w:val="18"/>
        </w:rPr>
        <w:t>P</w:t>
      </w:r>
      <w:r w:rsidRPr="004808E4">
        <w:rPr>
          <w:sz w:val="18"/>
          <w:szCs w:val="18"/>
        </w:rPr>
        <w:t xml:space="preserve"> values are provided by </w:t>
      </w:r>
      <w:r w:rsidRPr="004808E4">
        <w:rPr>
          <w:sz w:val="18"/>
          <w:szCs w:val="18"/>
          <w:lang w:bidi="ar-SA"/>
        </w:rPr>
        <w:t>Vulevic et al. (2013)</w:t>
      </w:r>
      <w:r w:rsidRPr="004808E4">
        <w:rPr>
          <w:sz w:val="18"/>
          <w:szCs w:val="18"/>
        </w:rPr>
        <w:t xml:space="preserve">: </w:t>
      </w:r>
      <w:r w:rsidRPr="004808E4">
        <w:rPr>
          <w:i/>
          <w:sz w:val="18"/>
          <w:szCs w:val="18"/>
        </w:rPr>
        <w:t>P</w:t>
      </w:r>
      <w:r w:rsidRPr="004808E4">
        <w:rPr>
          <w:sz w:val="18"/>
          <w:szCs w:val="18"/>
        </w:rPr>
        <w:t>&lt;0.005 (tabulated)</w:t>
      </w:r>
      <w:r>
        <w:rPr>
          <w:sz w:val="18"/>
          <w:szCs w:val="18"/>
        </w:rPr>
        <w:t>;</w:t>
      </w:r>
      <w:r w:rsidRPr="004808E4">
        <w:rPr>
          <w:sz w:val="18"/>
          <w:szCs w:val="18"/>
        </w:rPr>
        <w:t xml:space="preserve"> and</w:t>
      </w:r>
      <w:r>
        <w:rPr>
          <w:sz w:val="18"/>
          <w:szCs w:val="18"/>
        </w:rPr>
        <w:t>,</w:t>
      </w:r>
      <w:r w:rsidRPr="004808E4">
        <w:rPr>
          <w:sz w:val="18"/>
          <w:szCs w:val="18"/>
        </w:rPr>
        <w:t xml:space="preserve"> </w:t>
      </w:r>
      <w:r w:rsidRPr="004808E4">
        <w:rPr>
          <w:i/>
          <w:sz w:val="18"/>
          <w:szCs w:val="18"/>
        </w:rPr>
        <w:t>P</w:t>
      </w:r>
      <w:r w:rsidRPr="004808E4">
        <w:rPr>
          <w:sz w:val="18"/>
          <w:szCs w:val="18"/>
        </w:rPr>
        <w:t>&lt;0.0005 (in text).</w:t>
      </w:r>
    </w:p>
    <w:p w14:paraId="199E20A2" w14:textId="0DF49979" w:rsidR="00074BAA" w:rsidRPr="007F1BF1" w:rsidRDefault="00074BAA" w:rsidP="00074BAA">
      <w:pPr>
        <w:rPr>
          <w:rFonts w:cs="Arial"/>
          <w:szCs w:val="22"/>
        </w:rPr>
      </w:pPr>
      <w:r>
        <w:rPr>
          <w:rFonts w:cs="Arial"/>
        </w:rPr>
        <w:lastRenderedPageBreak/>
        <w:t>Meta-analyses were conducted for each lipid outcome. There is no evidence of a difference in</w:t>
      </w:r>
      <w:r w:rsidR="003E6C1C">
        <w:rPr>
          <w:rFonts w:cs="Arial"/>
        </w:rPr>
        <w:t xml:space="preserve"> our primary outcomes (total and LDL-cholesterol</w:t>
      </w:r>
      <w:r w:rsidR="003E6C1C" w:rsidRPr="003E6C1C">
        <w:rPr>
          <w:rFonts w:cs="Arial"/>
        </w:rPr>
        <w:t xml:space="preserve"> </w:t>
      </w:r>
      <w:r w:rsidR="003E6C1C">
        <w:rPr>
          <w:rFonts w:cs="Arial"/>
        </w:rPr>
        <w:t>concentration)</w:t>
      </w:r>
      <w:r>
        <w:rPr>
          <w:rFonts w:cs="Arial"/>
        </w:rPr>
        <w:t xml:space="preserve"> and</w:t>
      </w:r>
      <w:r w:rsidR="003E6C1C">
        <w:rPr>
          <w:rFonts w:cs="Arial"/>
        </w:rPr>
        <w:t xml:space="preserve"> secondary outcomes (</w:t>
      </w:r>
      <w:r>
        <w:rPr>
          <w:rFonts w:cs="Arial"/>
        </w:rPr>
        <w:t>HDL-cholesterol and triglyceride</w:t>
      </w:r>
      <w:r w:rsidR="003E6C1C">
        <w:rPr>
          <w:rFonts w:cs="Arial"/>
        </w:rPr>
        <w:t>)</w:t>
      </w:r>
      <w:r>
        <w:rPr>
          <w:rFonts w:cs="Arial"/>
        </w:rPr>
        <w:t xml:space="preserve"> between intervention and control groups. In comparison to 0 g/</w:t>
      </w:r>
      <w:r w:rsidRPr="004F6173">
        <w:rPr>
          <w:rFonts w:cs="Arial"/>
          <w:szCs w:val="22"/>
        </w:rPr>
        <w:t>day, an intake of 2.6 or 15.0 g/day</w:t>
      </w:r>
      <w:r w:rsidR="00ED7ED0">
        <w:rPr>
          <w:rFonts w:cs="Arial"/>
          <w:szCs w:val="22"/>
        </w:rPr>
        <w:t xml:space="preserve"> of</w:t>
      </w:r>
      <w:r w:rsidRPr="004F6173">
        <w:rPr>
          <w:rFonts w:cs="Arial"/>
          <w:szCs w:val="22"/>
        </w:rPr>
        <w:t xml:space="preserve"> </w:t>
      </w:r>
      <w:r w:rsidR="00ED7ED0">
        <w:rPr>
          <w:rFonts w:cs="Arial"/>
          <w:szCs w:val="22"/>
        </w:rPr>
        <w:t xml:space="preserve">added, synthetically produced </w:t>
      </w:r>
      <w:r w:rsidR="00C92EF1">
        <w:rPr>
          <w:rFonts w:cs="Arial"/>
        </w:rPr>
        <w:t>GOS</w:t>
      </w:r>
      <w:r w:rsidR="00ED7ED0" w:rsidRPr="004F6173">
        <w:rPr>
          <w:rFonts w:cs="Arial"/>
          <w:szCs w:val="22"/>
        </w:rPr>
        <w:t xml:space="preserve"> </w:t>
      </w:r>
      <w:r w:rsidRPr="004F6173">
        <w:rPr>
          <w:rFonts w:cs="Arial"/>
          <w:szCs w:val="22"/>
        </w:rPr>
        <w:t>has an overall me</w:t>
      </w:r>
      <w:r w:rsidRPr="007F1BF1">
        <w:rPr>
          <w:rFonts w:cs="Arial"/>
          <w:szCs w:val="22"/>
        </w:rPr>
        <w:t>an (95% CI) effect on:</w:t>
      </w:r>
    </w:p>
    <w:p w14:paraId="6256ACE8" w14:textId="77777777" w:rsidR="00074BAA" w:rsidRPr="007F1BF1" w:rsidRDefault="00074BAA" w:rsidP="00074BAA">
      <w:pPr>
        <w:pStyle w:val="ListParagraph"/>
        <w:numPr>
          <w:ilvl w:val="0"/>
          <w:numId w:val="18"/>
        </w:numPr>
        <w:rPr>
          <w:rFonts w:cs="Arial"/>
          <w:szCs w:val="22"/>
        </w:rPr>
      </w:pPr>
      <w:r>
        <w:rPr>
          <w:rFonts w:cs="Arial"/>
          <w:szCs w:val="22"/>
        </w:rPr>
        <w:t>T</w:t>
      </w:r>
      <w:r w:rsidRPr="007F1BF1">
        <w:rPr>
          <w:rFonts w:cs="Arial"/>
          <w:szCs w:val="22"/>
        </w:rPr>
        <w:t xml:space="preserve">otal cholesterol of -0.13 mmol/L (-0.34, 0.08, </w:t>
      </w:r>
      <w:r w:rsidRPr="007F1BF1">
        <w:rPr>
          <w:rFonts w:cs="Arial"/>
          <w:i/>
          <w:szCs w:val="22"/>
        </w:rPr>
        <w:t>P</w:t>
      </w:r>
      <w:r w:rsidRPr="007F1BF1">
        <w:rPr>
          <w:rFonts w:cs="Arial"/>
          <w:szCs w:val="22"/>
        </w:rPr>
        <w:t>=</w:t>
      </w:r>
      <w:r w:rsidRPr="007F1BF1">
        <w:rPr>
          <w:szCs w:val="22"/>
        </w:rPr>
        <w:t>0.21</w:t>
      </w:r>
      <w:r w:rsidRPr="007F1BF1">
        <w:rPr>
          <w:rFonts w:cs="Arial"/>
          <w:szCs w:val="22"/>
        </w:rPr>
        <w:t>; Figure 2)</w:t>
      </w:r>
    </w:p>
    <w:p w14:paraId="32343A1E" w14:textId="77777777" w:rsidR="00074BAA" w:rsidRPr="007F1BF1" w:rsidRDefault="00074BAA" w:rsidP="00074BAA">
      <w:pPr>
        <w:pStyle w:val="ListParagraph"/>
        <w:numPr>
          <w:ilvl w:val="0"/>
          <w:numId w:val="18"/>
        </w:numPr>
        <w:rPr>
          <w:rFonts w:cs="Arial"/>
          <w:szCs w:val="22"/>
        </w:rPr>
      </w:pPr>
      <w:r w:rsidRPr="007F1BF1">
        <w:rPr>
          <w:rFonts w:cs="Arial"/>
          <w:szCs w:val="22"/>
        </w:rPr>
        <w:t xml:space="preserve">LDL-cholesterol of -0.11 mmol/L (-0.29, 0.08, </w:t>
      </w:r>
      <w:r w:rsidRPr="007F1BF1">
        <w:rPr>
          <w:rFonts w:cs="Arial"/>
          <w:i/>
          <w:szCs w:val="22"/>
        </w:rPr>
        <w:t>P</w:t>
      </w:r>
      <w:r w:rsidRPr="007F1BF1">
        <w:rPr>
          <w:rFonts w:cs="Arial"/>
          <w:szCs w:val="22"/>
        </w:rPr>
        <w:t>=</w:t>
      </w:r>
      <w:r w:rsidRPr="007F1BF1">
        <w:rPr>
          <w:szCs w:val="22"/>
        </w:rPr>
        <w:t>0.25</w:t>
      </w:r>
      <w:r w:rsidRPr="007F1BF1">
        <w:rPr>
          <w:rFonts w:cs="Arial"/>
          <w:szCs w:val="22"/>
        </w:rPr>
        <w:t>; Figure</w:t>
      </w:r>
      <w:r>
        <w:rPr>
          <w:rFonts w:cs="Arial"/>
          <w:szCs w:val="22"/>
        </w:rPr>
        <w:t xml:space="preserve"> 3</w:t>
      </w:r>
      <w:r w:rsidRPr="007F1BF1">
        <w:rPr>
          <w:rFonts w:cs="Arial"/>
          <w:szCs w:val="22"/>
        </w:rPr>
        <w:t>)</w:t>
      </w:r>
    </w:p>
    <w:p w14:paraId="18A651B7" w14:textId="77777777" w:rsidR="00074BAA" w:rsidRPr="007F1BF1" w:rsidRDefault="00074BAA" w:rsidP="00074BAA">
      <w:pPr>
        <w:pStyle w:val="ListParagraph"/>
        <w:numPr>
          <w:ilvl w:val="0"/>
          <w:numId w:val="18"/>
        </w:numPr>
        <w:rPr>
          <w:rFonts w:cs="Arial"/>
          <w:szCs w:val="22"/>
        </w:rPr>
      </w:pPr>
      <w:r>
        <w:rPr>
          <w:rFonts w:cs="Arial"/>
          <w:szCs w:val="22"/>
        </w:rPr>
        <w:t>H</w:t>
      </w:r>
      <w:r w:rsidRPr="007F1BF1">
        <w:rPr>
          <w:rFonts w:cs="Arial"/>
          <w:szCs w:val="22"/>
        </w:rPr>
        <w:t xml:space="preserve">DL-cholesterol of -0.02 mmol/L (-0.07, 0.02, </w:t>
      </w:r>
      <w:r w:rsidRPr="007F1BF1">
        <w:rPr>
          <w:rFonts w:cs="Arial"/>
          <w:i/>
          <w:szCs w:val="22"/>
        </w:rPr>
        <w:t>P</w:t>
      </w:r>
      <w:r w:rsidRPr="007F1BF1">
        <w:rPr>
          <w:rFonts w:cs="Arial"/>
          <w:szCs w:val="22"/>
        </w:rPr>
        <w:t>=</w:t>
      </w:r>
      <w:r w:rsidRPr="007F1BF1">
        <w:rPr>
          <w:szCs w:val="22"/>
        </w:rPr>
        <w:t>0.31</w:t>
      </w:r>
      <w:r w:rsidRPr="007F1BF1">
        <w:rPr>
          <w:rFonts w:cs="Arial"/>
          <w:szCs w:val="22"/>
        </w:rPr>
        <w:t>; Figure 4)</w:t>
      </w:r>
    </w:p>
    <w:p w14:paraId="3F999187" w14:textId="77777777" w:rsidR="00074BAA" w:rsidRPr="007F1BF1" w:rsidRDefault="00074BAA" w:rsidP="00074BAA">
      <w:pPr>
        <w:pStyle w:val="ListParagraph"/>
        <w:numPr>
          <w:ilvl w:val="0"/>
          <w:numId w:val="18"/>
        </w:numPr>
        <w:rPr>
          <w:rFonts w:cs="Arial"/>
          <w:szCs w:val="22"/>
        </w:rPr>
      </w:pPr>
      <w:r>
        <w:rPr>
          <w:rFonts w:cs="Arial"/>
          <w:szCs w:val="22"/>
        </w:rPr>
        <w:t>Fasting triglyceride</w:t>
      </w:r>
      <w:r w:rsidRPr="007F1BF1">
        <w:rPr>
          <w:rFonts w:cs="Arial"/>
          <w:szCs w:val="22"/>
        </w:rPr>
        <w:t xml:space="preserve"> of -0.01 mmol/L (-0.12, 0.09, </w:t>
      </w:r>
      <w:r w:rsidRPr="007F1BF1">
        <w:rPr>
          <w:rFonts w:cs="Arial"/>
          <w:i/>
          <w:szCs w:val="22"/>
        </w:rPr>
        <w:t>P</w:t>
      </w:r>
      <w:r w:rsidRPr="007F1BF1">
        <w:rPr>
          <w:rFonts w:cs="Arial"/>
          <w:szCs w:val="22"/>
        </w:rPr>
        <w:t>=</w:t>
      </w:r>
      <w:r w:rsidRPr="007F1BF1">
        <w:rPr>
          <w:szCs w:val="22"/>
        </w:rPr>
        <w:t>0.80</w:t>
      </w:r>
      <w:r w:rsidRPr="007F1BF1">
        <w:rPr>
          <w:rFonts w:cs="Arial"/>
          <w:szCs w:val="22"/>
        </w:rPr>
        <w:t>; Figure 5)</w:t>
      </w:r>
    </w:p>
    <w:p w14:paraId="0170BCCA" w14:textId="77777777" w:rsidR="00074BAA" w:rsidRDefault="00074BAA" w:rsidP="00074BAA">
      <w:pPr>
        <w:rPr>
          <w:rFonts w:cs="Arial"/>
          <w:szCs w:val="22"/>
        </w:rPr>
      </w:pPr>
      <w:r w:rsidRPr="002366B1">
        <w:rPr>
          <w:rFonts w:cs="Arial"/>
          <w:szCs w:val="22"/>
        </w:rPr>
        <w:t xml:space="preserve">The confidence intervals of </w:t>
      </w:r>
      <w:r>
        <w:rPr>
          <w:rFonts w:cs="Arial"/>
          <w:szCs w:val="22"/>
        </w:rPr>
        <w:t>all</w:t>
      </w:r>
      <w:r w:rsidRPr="002366B1">
        <w:rPr>
          <w:rFonts w:cs="Arial"/>
          <w:szCs w:val="22"/>
        </w:rPr>
        <w:t xml:space="preserve"> weighted pooled estimate</w:t>
      </w:r>
      <w:r>
        <w:rPr>
          <w:rFonts w:cs="Arial"/>
          <w:szCs w:val="22"/>
        </w:rPr>
        <w:t>s</w:t>
      </w:r>
      <w:r w:rsidRPr="002366B1">
        <w:rPr>
          <w:rFonts w:cs="Arial"/>
          <w:szCs w:val="22"/>
        </w:rPr>
        <w:t xml:space="preserve"> and all intervention effect estimates</w:t>
      </w:r>
      <w:r>
        <w:rPr>
          <w:rFonts w:cs="Arial"/>
          <w:szCs w:val="22"/>
        </w:rPr>
        <w:t>,</w:t>
      </w:r>
      <w:r w:rsidRPr="002366B1">
        <w:rPr>
          <w:rFonts w:cs="Arial"/>
          <w:szCs w:val="22"/>
        </w:rPr>
        <w:t xml:space="preserve"> except one (Vulevic et al. 2013</w:t>
      </w:r>
      <w:r>
        <w:rPr>
          <w:rFonts w:cs="Arial"/>
          <w:szCs w:val="22"/>
        </w:rPr>
        <w:t xml:space="preserve"> for total cholestero</w:t>
      </w:r>
      <w:r w:rsidRPr="008D35ED">
        <w:rPr>
          <w:rFonts w:cs="Arial"/>
          <w:szCs w:val="22"/>
        </w:rPr>
        <w:t>l)</w:t>
      </w:r>
      <w:r>
        <w:rPr>
          <w:rFonts w:cs="Arial"/>
          <w:szCs w:val="22"/>
        </w:rPr>
        <w:t>,</w:t>
      </w:r>
      <w:r w:rsidRPr="008D35ED">
        <w:rPr>
          <w:rFonts w:cs="Arial"/>
          <w:szCs w:val="22"/>
        </w:rPr>
        <w:t xml:space="preserve"> cross the line of no effect. </w:t>
      </w:r>
      <w:r w:rsidRPr="008D35ED">
        <w:rPr>
          <w:rFonts w:cs="Arial"/>
        </w:rPr>
        <w:t xml:space="preserve">Heterogeneity between interventions varied by outcome: none for </w:t>
      </w:r>
      <w:r w:rsidRPr="008D35ED">
        <w:rPr>
          <w:rFonts w:cs="Arial"/>
          <w:szCs w:val="22"/>
        </w:rPr>
        <w:t>HDL-cholesterol and triglyceride</w:t>
      </w:r>
      <w:r w:rsidRPr="008D35ED">
        <w:rPr>
          <w:rFonts w:cs="Arial"/>
        </w:rPr>
        <w:t xml:space="preserve"> (I</w:t>
      </w:r>
      <w:r w:rsidRPr="008D35ED">
        <w:rPr>
          <w:rFonts w:cs="Arial"/>
          <w:vertAlign w:val="superscript"/>
        </w:rPr>
        <w:t>2</w:t>
      </w:r>
      <w:r w:rsidRPr="008D35ED">
        <w:rPr>
          <w:rFonts w:cs="Arial"/>
        </w:rPr>
        <w:t xml:space="preserve">=0%); low for </w:t>
      </w:r>
      <w:r w:rsidRPr="008D35ED">
        <w:rPr>
          <w:rFonts w:cs="Arial"/>
          <w:szCs w:val="22"/>
        </w:rPr>
        <w:t>LDL-cholesterol</w:t>
      </w:r>
      <w:r w:rsidRPr="008D35ED">
        <w:rPr>
          <w:rFonts w:cs="Arial"/>
        </w:rPr>
        <w:t xml:space="preserve"> (I</w:t>
      </w:r>
      <w:r w:rsidRPr="008D35ED">
        <w:rPr>
          <w:rFonts w:cs="Arial"/>
          <w:vertAlign w:val="superscript"/>
        </w:rPr>
        <w:t>2</w:t>
      </w:r>
      <w:r w:rsidRPr="008D35ED">
        <w:rPr>
          <w:rFonts w:cs="Arial"/>
        </w:rPr>
        <w:t>=27%); and, moderate for total cholesterol (I</w:t>
      </w:r>
      <w:r w:rsidRPr="008D35ED">
        <w:rPr>
          <w:rFonts w:cs="Arial"/>
          <w:vertAlign w:val="superscript"/>
        </w:rPr>
        <w:t>2</w:t>
      </w:r>
      <w:r w:rsidRPr="008D35ED">
        <w:rPr>
          <w:rFonts w:cs="Arial"/>
        </w:rPr>
        <w:t>=45%). For LDL- and total cholesterol, the differences in observed</w:t>
      </w:r>
      <w:r w:rsidRPr="002366B1">
        <w:rPr>
          <w:rFonts w:cs="Arial"/>
        </w:rPr>
        <w:t xml:space="preserve"> intervention effects cannot be explained by random variation alone.</w:t>
      </w:r>
      <w:r>
        <w:rPr>
          <w:rFonts w:cs="Arial"/>
        </w:rPr>
        <w:t xml:space="preserve"> Chance accounts for the variability between interventions’ effects for </w:t>
      </w:r>
      <w:r>
        <w:rPr>
          <w:rFonts w:cs="Arial"/>
          <w:szCs w:val="22"/>
        </w:rPr>
        <w:t>H</w:t>
      </w:r>
      <w:r w:rsidRPr="007F1BF1">
        <w:rPr>
          <w:rFonts w:cs="Arial"/>
          <w:szCs w:val="22"/>
        </w:rPr>
        <w:t>DL-cholesterol</w:t>
      </w:r>
      <w:r>
        <w:rPr>
          <w:rFonts w:cs="Arial"/>
          <w:szCs w:val="22"/>
        </w:rPr>
        <w:t xml:space="preserve"> and </w:t>
      </w:r>
      <w:r w:rsidRPr="007F1BF1">
        <w:rPr>
          <w:rFonts w:cs="Arial"/>
          <w:szCs w:val="22"/>
        </w:rPr>
        <w:t>t</w:t>
      </w:r>
      <w:r>
        <w:rPr>
          <w:rFonts w:cs="Arial"/>
          <w:szCs w:val="22"/>
        </w:rPr>
        <w:t>riglyceride.</w:t>
      </w:r>
    </w:p>
    <w:p w14:paraId="5D075591" w14:textId="77777777" w:rsidR="00074BAA" w:rsidRDefault="00074BAA" w:rsidP="00074BAA">
      <w:pPr>
        <w:rPr>
          <w:rFonts w:cs="Arial"/>
          <w:szCs w:val="22"/>
        </w:rPr>
      </w:pPr>
    </w:p>
    <w:p w14:paraId="7D6A80C0" w14:textId="77777777" w:rsidR="00074BAA" w:rsidRPr="002366B1" w:rsidRDefault="00074BAA" w:rsidP="00074BAA">
      <w:pPr>
        <w:rPr>
          <w:rFonts w:cs="Arial"/>
        </w:rPr>
      </w:pPr>
      <w:r w:rsidRPr="00D44A43">
        <w:rPr>
          <w:rFonts w:cs="Arial"/>
          <w:noProof/>
          <w:lang w:eastAsia="en-GB" w:bidi="ar-SA"/>
        </w:rPr>
        <w:drawing>
          <wp:inline distT="0" distB="0" distL="0" distR="0" wp14:anchorId="47A05889" wp14:editId="6D715DE1">
            <wp:extent cx="5759450" cy="13830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1383030"/>
                    </a:xfrm>
                    <a:prstGeom prst="rect">
                      <a:avLst/>
                    </a:prstGeom>
                  </pic:spPr>
                </pic:pic>
              </a:graphicData>
            </a:graphic>
          </wp:inline>
        </w:drawing>
      </w:r>
    </w:p>
    <w:p w14:paraId="79DA52B0" w14:textId="4BBAAC59" w:rsidR="00074BAA" w:rsidRPr="00E619A1" w:rsidRDefault="00074BAA" w:rsidP="00074BAA">
      <w:pPr>
        <w:rPr>
          <w:rFonts w:cs="Arial"/>
          <w:b/>
          <w:szCs w:val="22"/>
        </w:rPr>
      </w:pPr>
      <w:r w:rsidRPr="00D44A43">
        <w:rPr>
          <w:rFonts w:cs="Arial"/>
          <w:b/>
          <w:szCs w:val="22"/>
        </w:rPr>
        <w:t>Figure 2: Galacto-oligosaccharide intake has no overall effect on total cholesterol.</w:t>
      </w:r>
    </w:p>
    <w:p w14:paraId="47A31D67" w14:textId="77777777" w:rsidR="00074BAA" w:rsidRPr="00E619A1" w:rsidRDefault="00074BAA" w:rsidP="00074BAA">
      <w:pPr>
        <w:rPr>
          <w:rFonts w:cs="Arial"/>
          <w:szCs w:val="22"/>
        </w:rPr>
      </w:pPr>
    </w:p>
    <w:p w14:paraId="57ABCECF" w14:textId="77777777" w:rsidR="00074BAA" w:rsidRPr="00E619A1" w:rsidRDefault="00074BAA" w:rsidP="00074BAA">
      <w:pPr>
        <w:rPr>
          <w:rFonts w:cs="Arial"/>
          <w:szCs w:val="22"/>
        </w:rPr>
      </w:pPr>
    </w:p>
    <w:p w14:paraId="7529C598" w14:textId="77777777" w:rsidR="00074BAA" w:rsidRDefault="00074BAA" w:rsidP="00074BAA">
      <w:pPr>
        <w:rPr>
          <w:rFonts w:cs="Arial"/>
        </w:rPr>
      </w:pPr>
      <w:r w:rsidRPr="00D44A43">
        <w:rPr>
          <w:rFonts w:cs="Arial"/>
          <w:noProof/>
          <w:lang w:eastAsia="en-GB" w:bidi="ar-SA"/>
        </w:rPr>
        <w:drawing>
          <wp:inline distT="0" distB="0" distL="0" distR="0" wp14:anchorId="312B5FF9" wp14:editId="680DA833">
            <wp:extent cx="5759450" cy="1257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1257300"/>
                    </a:xfrm>
                    <a:prstGeom prst="rect">
                      <a:avLst/>
                    </a:prstGeom>
                  </pic:spPr>
                </pic:pic>
              </a:graphicData>
            </a:graphic>
          </wp:inline>
        </w:drawing>
      </w:r>
    </w:p>
    <w:p w14:paraId="5E8E55B9" w14:textId="6C9EBC45" w:rsidR="00074BAA" w:rsidRPr="00E619A1" w:rsidRDefault="00074BAA" w:rsidP="00074BAA">
      <w:pPr>
        <w:rPr>
          <w:rFonts w:cs="Arial"/>
          <w:b/>
          <w:szCs w:val="22"/>
        </w:rPr>
      </w:pPr>
      <w:r w:rsidRPr="00E619A1">
        <w:rPr>
          <w:rFonts w:cs="Arial"/>
          <w:b/>
          <w:szCs w:val="22"/>
        </w:rPr>
        <w:t>Figure 3: Galacto-oligosaccharide intake has no overall effect on LDL-cholesterol.</w:t>
      </w:r>
    </w:p>
    <w:p w14:paraId="157B7DA4" w14:textId="77777777" w:rsidR="00074BAA" w:rsidRPr="00E619A1" w:rsidRDefault="00074BAA" w:rsidP="00074BAA">
      <w:pPr>
        <w:rPr>
          <w:rFonts w:cs="Arial"/>
          <w:szCs w:val="22"/>
        </w:rPr>
      </w:pPr>
    </w:p>
    <w:p w14:paraId="3D8FB17A" w14:textId="77777777" w:rsidR="00074BAA" w:rsidRPr="00E619A1" w:rsidRDefault="00074BAA" w:rsidP="00074BAA">
      <w:pPr>
        <w:rPr>
          <w:rFonts w:cs="Arial"/>
          <w:szCs w:val="22"/>
        </w:rPr>
      </w:pPr>
    </w:p>
    <w:p w14:paraId="4C98784D" w14:textId="77777777" w:rsidR="00074BAA" w:rsidRDefault="00074BAA" w:rsidP="00074BAA">
      <w:pPr>
        <w:rPr>
          <w:rFonts w:cs="Arial"/>
        </w:rPr>
      </w:pPr>
      <w:r w:rsidRPr="00D44A43">
        <w:rPr>
          <w:rFonts w:cs="Arial"/>
          <w:noProof/>
          <w:lang w:eastAsia="en-GB" w:bidi="ar-SA"/>
        </w:rPr>
        <w:drawing>
          <wp:inline distT="0" distB="0" distL="0" distR="0" wp14:anchorId="6EFA9713" wp14:editId="1E8298FC">
            <wp:extent cx="5759450" cy="13830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1383030"/>
                    </a:xfrm>
                    <a:prstGeom prst="rect">
                      <a:avLst/>
                    </a:prstGeom>
                  </pic:spPr>
                </pic:pic>
              </a:graphicData>
            </a:graphic>
          </wp:inline>
        </w:drawing>
      </w:r>
    </w:p>
    <w:p w14:paraId="104BF9CB" w14:textId="50204143" w:rsidR="00074BAA" w:rsidRPr="00E619A1" w:rsidRDefault="00074BAA" w:rsidP="00074BAA">
      <w:pPr>
        <w:rPr>
          <w:rFonts w:cs="Arial"/>
          <w:b/>
          <w:szCs w:val="22"/>
        </w:rPr>
      </w:pPr>
      <w:r w:rsidRPr="00E619A1">
        <w:rPr>
          <w:rFonts w:cs="Arial"/>
          <w:b/>
          <w:szCs w:val="22"/>
        </w:rPr>
        <w:t>Figure 4: Galacto-oligosaccharide intake has no overall effect on HDL-cholesterol.</w:t>
      </w:r>
    </w:p>
    <w:p w14:paraId="4DBA8FBA" w14:textId="77777777" w:rsidR="00074BAA" w:rsidRPr="00E619A1" w:rsidRDefault="00074BAA" w:rsidP="00074BAA">
      <w:pPr>
        <w:rPr>
          <w:rFonts w:cs="Arial"/>
          <w:szCs w:val="22"/>
        </w:rPr>
      </w:pPr>
    </w:p>
    <w:p w14:paraId="0928A824" w14:textId="77777777" w:rsidR="00074BAA" w:rsidRPr="00E619A1" w:rsidRDefault="00074BAA" w:rsidP="00074BAA">
      <w:pPr>
        <w:rPr>
          <w:rFonts w:cs="Arial"/>
          <w:szCs w:val="22"/>
        </w:rPr>
      </w:pPr>
    </w:p>
    <w:p w14:paraId="77C7312F" w14:textId="08383CAA" w:rsidR="00074BAA" w:rsidRPr="00D44A43" w:rsidRDefault="00074BAA" w:rsidP="00074BAA">
      <w:pPr>
        <w:rPr>
          <w:rFonts w:cs="Arial"/>
        </w:rPr>
      </w:pPr>
      <w:r w:rsidRPr="00D44A43">
        <w:rPr>
          <w:rFonts w:cs="Arial"/>
          <w:noProof/>
          <w:lang w:eastAsia="en-GB" w:bidi="ar-SA"/>
        </w:rPr>
        <w:lastRenderedPageBreak/>
        <w:drawing>
          <wp:inline distT="0" distB="0" distL="0" distR="0" wp14:anchorId="1333B060" wp14:editId="41020886">
            <wp:extent cx="5759450" cy="13830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9450" cy="1383030"/>
                    </a:xfrm>
                    <a:prstGeom prst="rect">
                      <a:avLst/>
                    </a:prstGeom>
                  </pic:spPr>
                </pic:pic>
              </a:graphicData>
            </a:graphic>
          </wp:inline>
        </w:drawing>
      </w:r>
      <w:r w:rsidRPr="00E619A1">
        <w:rPr>
          <w:rFonts w:cs="Arial"/>
          <w:b/>
          <w:szCs w:val="22"/>
        </w:rPr>
        <w:t xml:space="preserve">Figure 5: Galacto-oligosaccharide intake has no overall effect on </w:t>
      </w:r>
      <w:r>
        <w:rPr>
          <w:rFonts w:cs="Arial"/>
          <w:b/>
          <w:szCs w:val="22"/>
        </w:rPr>
        <w:t xml:space="preserve">fasting </w:t>
      </w:r>
      <w:r w:rsidRPr="00E619A1">
        <w:rPr>
          <w:rFonts w:cs="Arial"/>
          <w:b/>
          <w:szCs w:val="22"/>
        </w:rPr>
        <w:t>triglyceride</w:t>
      </w:r>
      <w:r>
        <w:rPr>
          <w:rFonts w:cs="Arial"/>
          <w:b/>
          <w:szCs w:val="22"/>
          <w:vertAlign w:val="superscript"/>
        </w:rPr>
        <w:t>1</w:t>
      </w:r>
      <w:r w:rsidRPr="00E619A1">
        <w:rPr>
          <w:rFonts w:cs="Arial"/>
          <w:b/>
          <w:szCs w:val="22"/>
        </w:rPr>
        <w:t>.</w:t>
      </w:r>
    </w:p>
    <w:p w14:paraId="2FB6DC8C" w14:textId="59836675" w:rsidR="00074BAA" w:rsidRDefault="00074BAA" w:rsidP="00074BAA">
      <w:pPr>
        <w:rPr>
          <w:rFonts w:cs="Arial"/>
        </w:rPr>
      </w:pPr>
      <w:r w:rsidRPr="00776EA9">
        <w:rPr>
          <w:sz w:val="18"/>
          <w:szCs w:val="18"/>
          <w:vertAlign w:val="superscript"/>
          <w:lang w:bidi="ar-SA"/>
        </w:rPr>
        <w:t>1</w:t>
      </w:r>
      <w:r w:rsidRPr="00776EA9">
        <w:rPr>
          <w:sz w:val="18"/>
          <w:szCs w:val="18"/>
          <w:lang w:bidi="ar-SA"/>
        </w:rPr>
        <w:t xml:space="preserve">Fasting status: fasting (van Dokkum et al. 1999, Canfora et al. 2017, and </w:t>
      </w:r>
      <w:r w:rsidR="00A407D3">
        <w:rPr>
          <w:sz w:val="18"/>
          <w:szCs w:val="18"/>
          <w:lang w:bidi="ar-SA"/>
        </w:rPr>
        <w:t>Pedersen</w:t>
      </w:r>
      <w:r w:rsidRPr="00776EA9">
        <w:rPr>
          <w:sz w:val="18"/>
          <w:szCs w:val="18"/>
          <w:lang w:bidi="ar-SA"/>
        </w:rPr>
        <w:t xml:space="preserve"> et al. 2016),</w:t>
      </w:r>
      <w:r w:rsidRPr="00B30119">
        <w:rPr>
          <w:sz w:val="18"/>
          <w:szCs w:val="18"/>
          <w:lang w:bidi="ar-SA"/>
        </w:rPr>
        <w:t xml:space="preserve"> and </w:t>
      </w:r>
      <w:r>
        <w:rPr>
          <w:sz w:val="18"/>
          <w:szCs w:val="18"/>
          <w:lang w:bidi="ar-SA"/>
        </w:rPr>
        <w:t>assumed to be fasting</w:t>
      </w:r>
      <w:r w:rsidRPr="00B30119">
        <w:rPr>
          <w:sz w:val="18"/>
          <w:szCs w:val="18"/>
          <w:lang w:bidi="ar-SA"/>
        </w:rPr>
        <w:t xml:space="preserve"> (Vulevic et al. 2013).</w:t>
      </w:r>
    </w:p>
    <w:p w14:paraId="1537C619" w14:textId="77777777" w:rsidR="00074BAA" w:rsidRDefault="00074BAA" w:rsidP="00074BAA">
      <w:pPr>
        <w:rPr>
          <w:lang w:bidi="ar-SA"/>
        </w:rPr>
      </w:pPr>
    </w:p>
    <w:p w14:paraId="73CF65B1" w14:textId="4CF04D63" w:rsidR="00074BAA" w:rsidRPr="008D35ED" w:rsidRDefault="00074BAA" w:rsidP="00074BAA">
      <w:pPr>
        <w:rPr>
          <w:lang w:bidi="ar-SA"/>
        </w:rPr>
      </w:pPr>
      <w:r>
        <w:t>Blood cholesterol related outcomes</w:t>
      </w:r>
      <w:r>
        <w:rPr>
          <w:lang w:bidi="ar-SA"/>
        </w:rPr>
        <w:t xml:space="preserve"> were evaluated using</w:t>
      </w:r>
      <w:r>
        <w:t xml:space="preserve"> five</w:t>
      </w:r>
      <w:r>
        <w:rPr>
          <w:lang w:bidi="ar-SA"/>
        </w:rPr>
        <w:t xml:space="preserve"> well designed studies with small sample sizes and industry support.</w:t>
      </w:r>
      <w:r w:rsidR="00FC22D1">
        <w:rPr>
          <w:lang w:bidi="ar-SA"/>
        </w:rPr>
        <w:t xml:space="preserve"> </w:t>
      </w:r>
      <w:r w:rsidRPr="008D35ED">
        <w:rPr>
          <w:lang w:bidi="ar-SA"/>
        </w:rPr>
        <w:t>We conclude that, when taken a</w:t>
      </w:r>
      <w:r>
        <w:rPr>
          <w:lang w:bidi="ar-SA"/>
        </w:rPr>
        <w:t xml:space="preserve">s a whole, the body of evidence </w:t>
      </w:r>
      <w:r w:rsidRPr="008D35ED">
        <w:rPr>
          <w:lang w:bidi="ar-SA"/>
        </w:rPr>
        <w:t>does not convincingly demonstrate that</w:t>
      </w:r>
      <w:r>
        <w:rPr>
          <w:lang w:bidi="ar-SA"/>
        </w:rPr>
        <w:t xml:space="preserve"> </w:t>
      </w:r>
      <w:r w:rsidR="00C92EF1">
        <w:rPr>
          <w:lang w:bidi="ar-SA"/>
        </w:rPr>
        <w:t>GOS</w:t>
      </w:r>
      <w:r w:rsidRPr="008D35ED">
        <w:rPr>
          <w:lang w:bidi="ar-SA"/>
        </w:rPr>
        <w:t xml:space="preserve"> intake promotes a reduction in blood cholesterol (total or LDL-cholesterol) or a beneficial effect on other lipids</w:t>
      </w:r>
      <w:r>
        <w:rPr>
          <w:lang w:bidi="ar-SA"/>
        </w:rPr>
        <w:t>. Ba</w:t>
      </w:r>
      <w:r w:rsidR="0028316D">
        <w:rPr>
          <w:lang w:bidi="ar-SA"/>
        </w:rPr>
        <w:t xml:space="preserve">sed on current evidence, added </w:t>
      </w:r>
      <w:r w:rsidR="00C92EF1">
        <w:rPr>
          <w:lang w:bidi="ar-SA"/>
        </w:rPr>
        <w:t>GOS</w:t>
      </w:r>
      <w:r w:rsidRPr="008D35ED">
        <w:rPr>
          <w:lang w:bidi="ar-SA"/>
        </w:rPr>
        <w:t xml:space="preserve"> intake has no effect on</w:t>
      </w:r>
      <w:r>
        <w:rPr>
          <w:lang w:bidi="ar-SA"/>
        </w:rPr>
        <w:t xml:space="preserve"> </w:t>
      </w:r>
      <w:r w:rsidRPr="008D35ED">
        <w:rPr>
          <w:lang w:bidi="ar-SA"/>
        </w:rPr>
        <w:t>blood cholesterol (total or LDL-cholesterol) or other lipids.</w:t>
      </w:r>
    </w:p>
    <w:p w14:paraId="767D3866" w14:textId="77777777" w:rsidR="00074BAA" w:rsidRDefault="00074BAA" w:rsidP="00074BAA">
      <w:pPr>
        <w:rPr>
          <w:lang w:bidi="ar-SA"/>
        </w:rPr>
      </w:pPr>
    </w:p>
    <w:p w14:paraId="3CE9A00F" w14:textId="5076EBB5" w:rsidR="00074BAA" w:rsidRPr="00F54E61" w:rsidRDefault="00074BAA" w:rsidP="00074BAA">
      <w:pPr>
        <w:rPr>
          <w:lang w:bidi="ar-SA"/>
        </w:rPr>
      </w:pPr>
      <w:r w:rsidRPr="00651F69">
        <w:rPr>
          <w:rFonts w:cs="Arial"/>
          <w:szCs w:val="22"/>
        </w:rPr>
        <w:t>The US Food and Drug Administration</w:t>
      </w:r>
      <w:r>
        <w:rPr>
          <w:rFonts w:cs="Arial"/>
          <w:szCs w:val="22"/>
        </w:rPr>
        <w:t xml:space="preserve"> (FDA 2016) reviewed two studies with respect to blood cholesterol (</w:t>
      </w:r>
      <w:r w:rsidR="00FB1956">
        <w:rPr>
          <w:lang w:bidi="ar-SA"/>
        </w:rPr>
        <w:t>Vulevic et al. 2008</w:t>
      </w:r>
      <w:r>
        <w:rPr>
          <w:lang w:bidi="ar-SA"/>
        </w:rPr>
        <w:t xml:space="preserve"> and Vulevic et al. 2013) with summaries aligning with ours.</w:t>
      </w:r>
    </w:p>
    <w:p w14:paraId="5B2C2550" w14:textId="5076EBB5" w:rsidR="00074BAA" w:rsidRPr="002012B3" w:rsidRDefault="00074BAA" w:rsidP="00074BAA">
      <w:pPr>
        <w:rPr>
          <w:szCs w:val="22"/>
          <w:lang w:bidi="ar-SA"/>
        </w:rPr>
      </w:pPr>
    </w:p>
    <w:p w14:paraId="3E369B25" w14:textId="62A0F5A4" w:rsidR="004748B9" w:rsidRDefault="003D7003" w:rsidP="00A25053">
      <w:pPr>
        <w:pStyle w:val="Heading1"/>
      </w:pPr>
      <w:bookmarkStart w:id="17" w:name="_Toc64561460"/>
      <w:bookmarkStart w:id="18" w:name="_Toc66868362"/>
      <w:r>
        <w:t>1</w:t>
      </w:r>
      <w:r w:rsidR="003009C0">
        <w:t>.</w:t>
      </w:r>
      <w:r w:rsidR="00871D1D">
        <w:t>4</w:t>
      </w:r>
      <w:r w:rsidR="00A25053">
        <w:t xml:space="preserve"> </w:t>
      </w:r>
      <w:r w:rsidR="003009C0">
        <w:t>Modulation of b</w:t>
      </w:r>
      <w:r w:rsidR="004748B9">
        <w:t>lood glucose</w:t>
      </w:r>
      <w:bookmarkEnd w:id="17"/>
      <w:bookmarkEnd w:id="18"/>
    </w:p>
    <w:p w14:paraId="37EABE0B" w14:textId="6FDD6963" w:rsidR="0028062D" w:rsidRDefault="003D7003" w:rsidP="0073104D">
      <w:pPr>
        <w:pStyle w:val="Heading2"/>
      </w:pPr>
      <w:bookmarkStart w:id="19" w:name="_Toc64561461"/>
      <w:bookmarkStart w:id="20" w:name="_Toc66868363"/>
      <w:r>
        <w:t>1</w:t>
      </w:r>
      <w:r w:rsidR="0028062D" w:rsidRPr="00B52107">
        <w:t xml:space="preserve">.4.1 </w:t>
      </w:r>
      <w:r w:rsidR="001B2457">
        <w:t>Assessment: results</w:t>
      </w:r>
      <w:bookmarkEnd w:id="19"/>
      <w:bookmarkEnd w:id="20"/>
    </w:p>
    <w:p w14:paraId="41364603" w14:textId="32E5459D" w:rsidR="00D30242" w:rsidRPr="008D35ED" w:rsidRDefault="00D30242" w:rsidP="00D30242">
      <w:pPr>
        <w:rPr>
          <w:rFonts w:cs="Arial"/>
          <w:szCs w:val="22"/>
        </w:rPr>
      </w:pPr>
      <w:r>
        <w:rPr>
          <w:lang w:bidi="ar-SA"/>
        </w:rPr>
        <w:t>Four studies are reviewed here to evaluate the relationship between</w:t>
      </w:r>
      <w:r w:rsidR="00C62486" w:rsidRPr="00C62486">
        <w:rPr>
          <w:rFonts w:cs="Arial"/>
        </w:rPr>
        <w:t xml:space="preserve"> </w:t>
      </w:r>
      <w:r w:rsidR="0028316D">
        <w:rPr>
          <w:rFonts w:cs="Arial"/>
        </w:rPr>
        <w:t xml:space="preserve">added </w:t>
      </w:r>
      <w:r w:rsidR="00C92EF1">
        <w:rPr>
          <w:lang w:bidi="ar-SA"/>
        </w:rPr>
        <w:t>GOS</w:t>
      </w:r>
      <w:r>
        <w:rPr>
          <w:lang w:bidi="ar-SA"/>
        </w:rPr>
        <w:t xml:space="preserve"> intake and outcomes related to blood glucose. Participants’ diets were reported to be controlled (van Dokkum et al. 1999) or measured and unchanged (Canfora et al. 2017, Vulevic et al. 2013, and Pedersen et al. 2016). In the intervention conditions, participants</w:t>
      </w:r>
      <w:r w:rsidR="003D38AA">
        <w:rPr>
          <w:lang w:bidi="ar-SA"/>
        </w:rPr>
        <w:t>’</w:t>
      </w:r>
      <w:r>
        <w:rPr>
          <w:lang w:bidi="ar-SA"/>
        </w:rPr>
        <w:t xml:space="preserve"> </w:t>
      </w:r>
      <w:r w:rsidR="004977CE">
        <w:rPr>
          <w:lang w:bidi="ar-SA"/>
        </w:rPr>
        <w:t>intake of</w:t>
      </w:r>
      <w:r>
        <w:rPr>
          <w:lang w:bidi="ar-SA"/>
        </w:rPr>
        <w:t xml:space="preserve"> </w:t>
      </w:r>
      <w:r w:rsidR="00C92EF1">
        <w:rPr>
          <w:rFonts w:cs="Arial"/>
        </w:rPr>
        <w:t>GOS</w:t>
      </w:r>
      <w:r w:rsidR="004977CE">
        <w:rPr>
          <w:lang w:bidi="ar-SA"/>
        </w:rPr>
        <w:t xml:space="preserve"> was </w:t>
      </w:r>
      <w:r w:rsidRPr="00786638">
        <w:rPr>
          <w:lang w:bidi="ar-SA"/>
        </w:rPr>
        <w:t>2.6 g</w:t>
      </w:r>
      <w:r>
        <w:rPr>
          <w:lang w:bidi="ar-SA"/>
        </w:rPr>
        <w:t xml:space="preserve">/day for 12 weeks (Vulevic et al. 2013, and Pedersen et al. 2016), </w:t>
      </w:r>
      <w:r>
        <w:rPr>
          <w:rFonts w:cs="Arial"/>
        </w:rPr>
        <w:t xml:space="preserve">15 g/day </w:t>
      </w:r>
      <w:r w:rsidRPr="008D35ED">
        <w:rPr>
          <w:rFonts w:cs="Arial"/>
        </w:rPr>
        <w:t>for 12 weeks (</w:t>
      </w:r>
      <w:r w:rsidRPr="008D35ED">
        <w:rPr>
          <w:lang w:bidi="ar-SA"/>
        </w:rPr>
        <w:t xml:space="preserve">Canfora et al. 2017), or </w:t>
      </w:r>
      <w:r w:rsidRPr="008D35ED">
        <w:rPr>
          <w:rFonts w:cs="Arial"/>
        </w:rPr>
        <w:t>15 g/day for three weeks (</w:t>
      </w:r>
      <w:r w:rsidRPr="008D35ED">
        <w:rPr>
          <w:lang w:bidi="ar-SA"/>
        </w:rPr>
        <w:t xml:space="preserve">van Dokkum et al. 1999). </w:t>
      </w:r>
      <w:r w:rsidR="00651C73" w:rsidRPr="008D35ED">
        <w:rPr>
          <w:lang w:bidi="ar-SA"/>
        </w:rPr>
        <w:t>The intervention conditions’ duration</w:t>
      </w:r>
      <w:r w:rsidR="00A560F6" w:rsidRPr="008D35ED">
        <w:rPr>
          <w:lang w:bidi="ar-SA"/>
        </w:rPr>
        <w:t xml:space="preserve"> provides </w:t>
      </w:r>
      <w:r w:rsidR="004D642E">
        <w:rPr>
          <w:lang w:bidi="ar-SA"/>
        </w:rPr>
        <w:t>sufficient</w:t>
      </w:r>
      <w:r w:rsidR="00651C73" w:rsidRPr="008D35ED">
        <w:rPr>
          <w:lang w:bidi="ar-SA"/>
        </w:rPr>
        <w:t xml:space="preserve"> opportunity for blood glucose</w:t>
      </w:r>
      <w:r w:rsidR="00334804" w:rsidRPr="008D35ED">
        <w:rPr>
          <w:lang w:bidi="ar-SA"/>
        </w:rPr>
        <w:t>-</w:t>
      </w:r>
      <w:r w:rsidR="00651C73" w:rsidRPr="008D35ED">
        <w:rPr>
          <w:lang w:bidi="ar-SA"/>
        </w:rPr>
        <w:t xml:space="preserve"> and insulin</w:t>
      </w:r>
      <w:r w:rsidR="00334804" w:rsidRPr="008D35ED">
        <w:rPr>
          <w:lang w:bidi="ar-SA"/>
        </w:rPr>
        <w:t xml:space="preserve">-related outcomes </w:t>
      </w:r>
      <w:r w:rsidR="00651C73" w:rsidRPr="008D35ED">
        <w:rPr>
          <w:lang w:bidi="ar-SA"/>
        </w:rPr>
        <w:t>to respond to the treatment, including glycosylated haemoglobin which was reported by one 12 week study (Pedersen et al. 2016).</w:t>
      </w:r>
      <w:r w:rsidR="004D6AD9" w:rsidRPr="008D35ED">
        <w:rPr>
          <w:lang w:bidi="ar-SA"/>
        </w:rPr>
        <w:t xml:space="preserve"> None of the glucose or insulin related outcomes differed between groups at baseline, in three from four studies </w:t>
      </w:r>
      <w:r w:rsidR="0049018C">
        <w:rPr>
          <w:lang w:bidi="ar-SA"/>
        </w:rPr>
        <w:t>(Canfora et al. 2017, Vulevic et al. 2013, and Pedersen et al. 2016).</w:t>
      </w:r>
      <w:r w:rsidR="00DF0A12">
        <w:rPr>
          <w:lang w:bidi="ar-SA"/>
        </w:rPr>
        <w:t xml:space="preserve"> The remaining study by</w:t>
      </w:r>
      <w:r w:rsidR="0049018C">
        <w:rPr>
          <w:lang w:bidi="ar-SA"/>
        </w:rPr>
        <w:t xml:space="preserve"> </w:t>
      </w:r>
      <w:r w:rsidR="004D6AD9" w:rsidRPr="008D35ED">
        <w:rPr>
          <w:lang w:bidi="ar-SA"/>
        </w:rPr>
        <w:t xml:space="preserve">van Dokkum et al. </w:t>
      </w:r>
      <w:r w:rsidR="0049018C">
        <w:rPr>
          <w:lang w:bidi="ar-SA"/>
        </w:rPr>
        <w:t xml:space="preserve">(1999) </w:t>
      </w:r>
      <w:r w:rsidR="004D6AD9" w:rsidRPr="008D35ED">
        <w:rPr>
          <w:lang w:bidi="ar-SA"/>
        </w:rPr>
        <w:t>do</w:t>
      </w:r>
      <w:r w:rsidR="00DF0A12">
        <w:rPr>
          <w:lang w:bidi="ar-SA"/>
        </w:rPr>
        <w:t>es</w:t>
      </w:r>
      <w:r w:rsidR="004D6AD9" w:rsidRPr="008D35ED">
        <w:rPr>
          <w:lang w:bidi="ar-SA"/>
        </w:rPr>
        <w:t xml:space="preserve"> no</w:t>
      </w:r>
      <w:r w:rsidR="00DF0A12">
        <w:rPr>
          <w:lang w:bidi="ar-SA"/>
        </w:rPr>
        <w:t>t</w:t>
      </w:r>
      <w:r w:rsidR="004D6AD9" w:rsidRPr="008D35ED">
        <w:rPr>
          <w:lang w:bidi="ar-SA"/>
        </w:rPr>
        <w:t xml:space="preserve"> report baseline concentrations, however, state that these participants</w:t>
      </w:r>
      <w:r w:rsidR="0049018C">
        <w:rPr>
          <w:lang w:bidi="ar-SA"/>
        </w:rPr>
        <w:t xml:space="preserve"> </w:t>
      </w:r>
      <w:r w:rsidR="004D6AD9" w:rsidRPr="008D35ED">
        <w:rPr>
          <w:lang w:bidi="ar-SA"/>
        </w:rPr>
        <w:t>had “normal health” as assessed using clinical l</w:t>
      </w:r>
      <w:r w:rsidR="0049018C">
        <w:rPr>
          <w:lang w:bidi="ar-SA"/>
        </w:rPr>
        <w:t>aboratory tests and vital signs</w:t>
      </w:r>
      <w:r w:rsidR="00FD05C4" w:rsidRPr="008D35ED">
        <w:rPr>
          <w:lang w:bidi="ar-SA"/>
        </w:rPr>
        <w:t xml:space="preserve">. </w:t>
      </w:r>
      <w:r w:rsidR="00227ED0">
        <w:rPr>
          <w:lang w:bidi="ar-SA"/>
        </w:rPr>
        <w:t>Three out of four studies</w:t>
      </w:r>
      <w:r w:rsidR="0049018C">
        <w:rPr>
          <w:lang w:bidi="ar-SA"/>
        </w:rPr>
        <w:t>’</w:t>
      </w:r>
      <w:r w:rsidR="00227ED0">
        <w:rPr>
          <w:lang w:bidi="ar-SA"/>
        </w:rPr>
        <w:t xml:space="preserve"> </w:t>
      </w:r>
      <w:r w:rsidR="0049018C">
        <w:rPr>
          <w:lang w:bidi="ar-SA"/>
        </w:rPr>
        <w:t xml:space="preserve">participants had </w:t>
      </w:r>
      <w:r w:rsidR="00B42DDA">
        <w:rPr>
          <w:lang w:bidi="ar-SA"/>
        </w:rPr>
        <w:t xml:space="preserve">either </w:t>
      </w:r>
      <w:r w:rsidR="0049018C">
        <w:rPr>
          <w:lang w:bidi="ar-SA"/>
        </w:rPr>
        <w:t>a</w:t>
      </w:r>
      <w:r w:rsidR="00B42DDA">
        <w:rPr>
          <w:lang w:bidi="ar-SA"/>
        </w:rPr>
        <w:t xml:space="preserve"> minimum or mean</w:t>
      </w:r>
      <w:r w:rsidR="0049018C">
        <w:rPr>
          <w:lang w:bidi="ar-SA"/>
        </w:rPr>
        <w:t xml:space="preserve"> body mass index of </w:t>
      </w:r>
      <w:r w:rsidR="0049018C" w:rsidRPr="00AE7256">
        <w:rPr>
          <w:rFonts w:cs="Arial"/>
          <w:szCs w:val="22"/>
          <w:lang w:bidi="ar-SA"/>
        </w:rPr>
        <w:t>&gt;25 kg/m</w:t>
      </w:r>
      <w:r w:rsidR="0049018C" w:rsidRPr="00AE7256">
        <w:rPr>
          <w:rFonts w:cs="Arial"/>
          <w:szCs w:val="22"/>
          <w:vertAlign w:val="superscript"/>
          <w:lang w:bidi="ar-SA"/>
        </w:rPr>
        <w:t>2</w:t>
      </w:r>
      <w:r w:rsidR="0049018C">
        <w:rPr>
          <w:lang w:bidi="ar-SA"/>
        </w:rPr>
        <w:t xml:space="preserve"> and r</w:t>
      </w:r>
      <w:r w:rsidR="00227ED0">
        <w:rPr>
          <w:lang w:bidi="ar-SA"/>
        </w:rPr>
        <w:t>equired participants to have a marker of abnormal glucose metabolism, such as type 2 diabetes mellitus</w:t>
      </w:r>
      <w:r w:rsidR="005279C2">
        <w:rPr>
          <w:lang w:bidi="ar-SA"/>
        </w:rPr>
        <w:t xml:space="preserve"> (well-controlled; total diabetes medication use: n=23 from 29; metformin use: n=20 from 29)</w:t>
      </w:r>
      <w:r w:rsidR="00227ED0">
        <w:rPr>
          <w:lang w:bidi="ar-SA"/>
        </w:rPr>
        <w:t>,</w:t>
      </w:r>
      <w:r w:rsidR="0049018C">
        <w:rPr>
          <w:lang w:bidi="ar-SA"/>
        </w:rPr>
        <w:t xml:space="preserve"> at least three</w:t>
      </w:r>
      <w:r w:rsidR="00227ED0">
        <w:rPr>
          <w:lang w:bidi="ar-SA"/>
        </w:rPr>
        <w:t xml:space="preserve"> </w:t>
      </w:r>
      <w:r w:rsidR="00227ED0" w:rsidRPr="0049018C">
        <w:rPr>
          <w:lang w:bidi="ar-SA"/>
        </w:rPr>
        <w:t>metabolic syndrome</w:t>
      </w:r>
      <w:r w:rsidR="0049018C" w:rsidRPr="0049018C">
        <w:rPr>
          <w:lang w:bidi="ar-SA"/>
        </w:rPr>
        <w:t xml:space="preserve"> risk factors</w:t>
      </w:r>
      <w:r w:rsidR="00227ED0">
        <w:rPr>
          <w:lang w:bidi="ar-SA"/>
        </w:rPr>
        <w:t>, or prediabetes (Canfora et al. 2017, Vulevic et al. 2013, and Pedersen et al. 2016). In contrast, the remaining study used a more homogenous sample of young adult males (mean age: 23 years</w:t>
      </w:r>
      <w:r w:rsidR="0049018C">
        <w:rPr>
          <w:lang w:bidi="ar-SA"/>
        </w:rPr>
        <w:t>)</w:t>
      </w:r>
      <w:r w:rsidR="00991C10">
        <w:rPr>
          <w:lang w:bidi="ar-SA"/>
        </w:rPr>
        <w:t>,</w:t>
      </w:r>
      <w:r w:rsidR="0049018C">
        <w:rPr>
          <w:lang w:bidi="ar-SA"/>
        </w:rPr>
        <w:t xml:space="preserve"> with a</w:t>
      </w:r>
      <w:r w:rsidR="00227ED0">
        <w:rPr>
          <w:lang w:bidi="ar-SA"/>
        </w:rPr>
        <w:t xml:space="preserve"> mean body mass index </w:t>
      </w:r>
      <w:r w:rsidR="0049018C">
        <w:rPr>
          <w:lang w:bidi="ar-SA"/>
        </w:rPr>
        <w:t xml:space="preserve">of </w:t>
      </w:r>
      <w:r w:rsidR="00227ED0">
        <w:rPr>
          <w:lang w:bidi="ar-SA"/>
        </w:rPr>
        <w:t>approximately 23 kg/m</w:t>
      </w:r>
      <w:r w:rsidR="00227ED0">
        <w:rPr>
          <w:vertAlign w:val="superscript"/>
          <w:lang w:bidi="ar-SA"/>
        </w:rPr>
        <w:t>2</w:t>
      </w:r>
      <w:r w:rsidR="00227ED0">
        <w:rPr>
          <w:lang w:bidi="ar-SA"/>
        </w:rPr>
        <w:t>,</w:t>
      </w:r>
      <w:r w:rsidR="0049018C">
        <w:rPr>
          <w:lang w:bidi="ar-SA"/>
        </w:rPr>
        <w:t xml:space="preserve"> </w:t>
      </w:r>
      <w:r w:rsidR="00991C10">
        <w:rPr>
          <w:lang w:bidi="ar-SA"/>
        </w:rPr>
        <w:t xml:space="preserve">of </w:t>
      </w:r>
      <w:r w:rsidR="0049018C" w:rsidRPr="008D35ED">
        <w:rPr>
          <w:lang w:bidi="ar-SA"/>
        </w:rPr>
        <w:t>“normal health”</w:t>
      </w:r>
      <w:r w:rsidR="00991C10">
        <w:rPr>
          <w:lang w:bidi="ar-SA"/>
        </w:rPr>
        <w:t>,</w:t>
      </w:r>
      <w:r w:rsidR="0049018C" w:rsidRPr="008D35ED">
        <w:rPr>
          <w:lang w:bidi="ar-SA"/>
        </w:rPr>
        <w:t xml:space="preserve"> </w:t>
      </w:r>
      <w:r w:rsidR="0049018C">
        <w:rPr>
          <w:lang w:bidi="ar-SA"/>
        </w:rPr>
        <w:t>and</w:t>
      </w:r>
      <w:r w:rsidR="00227ED0">
        <w:rPr>
          <w:lang w:bidi="ar-SA"/>
        </w:rPr>
        <w:t xml:space="preserve"> </w:t>
      </w:r>
      <w:r w:rsidR="00B11F63">
        <w:rPr>
          <w:lang w:bidi="ar-SA"/>
        </w:rPr>
        <w:t>with</w:t>
      </w:r>
      <w:r w:rsidR="00991C10">
        <w:rPr>
          <w:lang w:bidi="ar-SA"/>
        </w:rPr>
        <w:t xml:space="preserve"> </w:t>
      </w:r>
      <w:r w:rsidR="00227ED0">
        <w:rPr>
          <w:lang w:bidi="ar-SA"/>
        </w:rPr>
        <w:t>lower blood glucose and insulin levels than the other studies</w:t>
      </w:r>
      <w:r w:rsidR="005279C2">
        <w:rPr>
          <w:lang w:bidi="ar-SA"/>
        </w:rPr>
        <w:t>’ samples</w:t>
      </w:r>
      <w:r w:rsidR="00227ED0">
        <w:rPr>
          <w:lang w:bidi="ar-SA"/>
        </w:rPr>
        <w:t xml:space="preserve"> (Table </w:t>
      </w:r>
      <w:r w:rsidR="00A65AE0">
        <w:rPr>
          <w:lang w:bidi="ar-SA"/>
        </w:rPr>
        <w:t>4</w:t>
      </w:r>
      <w:r w:rsidR="00CF7473">
        <w:rPr>
          <w:lang w:bidi="ar-SA"/>
        </w:rPr>
        <w:t>; van Dokkum et al. 1999)</w:t>
      </w:r>
      <w:r w:rsidR="00227ED0">
        <w:rPr>
          <w:lang w:bidi="ar-SA"/>
        </w:rPr>
        <w:t xml:space="preserve">. </w:t>
      </w:r>
      <w:r w:rsidR="00360E70" w:rsidRPr="008D35ED">
        <w:rPr>
          <w:rFonts w:cs="Arial"/>
        </w:rPr>
        <w:t xml:space="preserve">We </w:t>
      </w:r>
      <w:r w:rsidR="00B11F63">
        <w:rPr>
          <w:rFonts w:cs="Arial"/>
          <w:szCs w:val="22"/>
        </w:rPr>
        <w:t xml:space="preserve">note that </w:t>
      </w:r>
      <w:r w:rsidR="00360E70" w:rsidRPr="008D35ED">
        <w:rPr>
          <w:rFonts w:cs="Arial"/>
          <w:szCs w:val="22"/>
        </w:rPr>
        <w:t>one participant withdrew due to gastrointestin</w:t>
      </w:r>
      <w:r w:rsidR="00C42803">
        <w:rPr>
          <w:rFonts w:cs="Arial"/>
          <w:szCs w:val="22"/>
        </w:rPr>
        <w:t>al upset (</w:t>
      </w:r>
      <w:r w:rsidR="00A407D3">
        <w:rPr>
          <w:rFonts w:cs="Arial"/>
          <w:szCs w:val="22"/>
        </w:rPr>
        <w:t>Pedersen</w:t>
      </w:r>
      <w:r w:rsidR="00C42803">
        <w:rPr>
          <w:rFonts w:cs="Arial"/>
          <w:szCs w:val="22"/>
        </w:rPr>
        <w:t xml:space="preserve"> et al. 2016)</w:t>
      </w:r>
      <w:r w:rsidR="00C42803">
        <w:rPr>
          <w:lang w:bidi="ar-SA"/>
        </w:rPr>
        <w:t>,</w:t>
      </w:r>
      <w:r w:rsidR="00E43A37">
        <w:rPr>
          <w:rFonts w:cs="Arial"/>
          <w:szCs w:val="22"/>
        </w:rPr>
        <w:t xml:space="preserve"> however, the severity of symptoms and cause are not specified.</w:t>
      </w:r>
      <w:r w:rsidR="00360E70" w:rsidRPr="008D35ED">
        <w:rPr>
          <w:lang w:bidi="ar-SA"/>
        </w:rPr>
        <w:t xml:space="preserve"> </w:t>
      </w:r>
      <w:r w:rsidRPr="008D35ED">
        <w:rPr>
          <w:rFonts w:cs="Arial"/>
        </w:rPr>
        <w:t>We report the methodology of our review and the in</w:t>
      </w:r>
      <w:r w:rsidR="00535CC0">
        <w:rPr>
          <w:rFonts w:cs="Arial"/>
        </w:rPr>
        <w:t xml:space="preserve">cluded studies in </w:t>
      </w:r>
      <w:r w:rsidR="002D67B2">
        <w:rPr>
          <w:rFonts w:cs="Arial"/>
        </w:rPr>
        <w:t>Appendices</w:t>
      </w:r>
      <w:r w:rsidR="00535CC0">
        <w:rPr>
          <w:rFonts w:cs="Arial"/>
        </w:rPr>
        <w:t xml:space="preserve"> Sections 2.4</w:t>
      </w:r>
      <w:r w:rsidRPr="008D35ED">
        <w:rPr>
          <w:rFonts w:cs="Arial"/>
        </w:rPr>
        <w:t xml:space="preserve"> and</w:t>
      </w:r>
      <w:r w:rsidR="00F66CF3" w:rsidRPr="008D35ED">
        <w:rPr>
          <w:rFonts w:cs="Arial"/>
        </w:rPr>
        <w:t xml:space="preserve"> 2.6</w:t>
      </w:r>
      <w:r w:rsidRPr="008D35ED">
        <w:rPr>
          <w:rFonts w:cs="Arial"/>
        </w:rPr>
        <w:t>.</w:t>
      </w:r>
    </w:p>
    <w:p w14:paraId="36BBB31A" w14:textId="219627C2" w:rsidR="00D30242" w:rsidRPr="008D35ED" w:rsidRDefault="00D30242" w:rsidP="0028062D">
      <w:pPr>
        <w:rPr>
          <w:lang w:bidi="ar-SA"/>
        </w:rPr>
      </w:pPr>
    </w:p>
    <w:p w14:paraId="5170DD30" w14:textId="41573B3F" w:rsidR="00A44716" w:rsidRPr="008D35ED" w:rsidRDefault="00A44716" w:rsidP="00A44716">
      <w:pPr>
        <w:rPr>
          <w:lang w:bidi="ar-SA"/>
        </w:rPr>
      </w:pPr>
      <w:r w:rsidRPr="008D35ED">
        <w:rPr>
          <w:lang w:bidi="ar-SA"/>
        </w:rPr>
        <w:lastRenderedPageBreak/>
        <w:t xml:space="preserve">We are primarily interested in assessing whether </w:t>
      </w:r>
      <w:r w:rsidR="00C92EF1">
        <w:rPr>
          <w:lang w:bidi="ar-SA"/>
        </w:rPr>
        <w:t>GOS</w:t>
      </w:r>
      <w:r w:rsidRPr="008D35ED">
        <w:rPr>
          <w:lang w:bidi="ar-SA"/>
        </w:rPr>
        <w:t xml:space="preserve"> intake modulates blood glucose, glycosylated haemoglobin, and postprandial glycaemic response, </w:t>
      </w:r>
      <w:r w:rsidR="00C661DC" w:rsidRPr="008D35ED">
        <w:rPr>
          <w:lang w:bidi="ar-SA"/>
        </w:rPr>
        <w:t xml:space="preserve">due to </w:t>
      </w:r>
      <w:r w:rsidRPr="008D35ED">
        <w:rPr>
          <w:lang w:bidi="ar-SA"/>
        </w:rPr>
        <w:t>their relevance to</w:t>
      </w:r>
      <w:r w:rsidR="00ED747E" w:rsidRPr="00ED747E">
        <w:rPr>
          <w:lang w:bidi="ar-SA"/>
        </w:rPr>
        <w:t xml:space="preserve"> </w:t>
      </w:r>
      <w:r w:rsidR="00ED747E">
        <w:rPr>
          <w:lang w:bidi="ar-SA"/>
        </w:rPr>
        <w:t>the beneficial physiological effect listed in</w:t>
      </w:r>
      <w:r w:rsidRPr="008D35ED">
        <w:rPr>
          <w:lang w:bidi="ar-SA"/>
        </w:rPr>
        <w:t xml:space="preserve"> the Code’s definition of dietary fibre (i.e. “modulation of blood glucose”)</w:t>
      </w:r>
      <w:r w:rsidR="00C661DC" w:rsidRPr="008D35ED">
        <w:rPr>
          <w:lang w:bidi="ar-SA"/>
        </w:rPr>
        <w:t xml:space="preserve">. Baseline and </w:t>
      </w:r>
      <w:r w:rsidR="00B92662">
        <w:rPr>
          <w:lang w:bidi="ar-SA"/>
        </w:rPr>
        <w:t>follow-up</w:t>
      </w:r>
      <w:r w:rsidR="00C661DC" w:rsidRPr="008D35ED">
        <w:rPr>
          <w:lang w:bidi="ar-SA"/>
        </w:rPr>
        <w:t xml:space="preserve"> data were</w:t>
      </w:r>
      <w:r w:rsidRPr="008D35ED">
        <w:rPr>
          <w:lang w:bidi="ar-SA"/>
        </w:rPr>
        <w:t xml:space="preserve"> reported by: four studies for blood glucose (mainly fasting; see Table </w:t>
      </w:r>
      <w:r w:rsidR="00A65AE0">
        <w:rPr>
          <w:lang w:bidi="ar-SA"/>
        </w:rPr>
        <w:t>4</w:t>
      </w:r>
      <w:r w:rsidRPr="008D35ED">
        <w:rPr>
          <w:lang w:bidi="ar-SA"/>
        </w:rPr>
        <w:t>); one study for glycosylated haemoglobin (</w:t>
      </w:r>
      <w:r w:rsidR="00A407D3">
        <w:rPr>
          <w:lang w:bidi="ar-SA"/>
        </w:rPr>
        <w:t>Pedersen</w:t>
      </w:r>
      <w:r w:rsidRPr="008D35ED">
        <w:rPr>
          <w:lang w:bidi="ar-SA"/>
        </w:rPr>
        <w:t xml:space="preserve"> et al. 2016; see Table </w:t>
      </w:r>
      <w:r w:rsidR="00A65AE0">
        <w:rPr>
          <w:lang w:bidi="ar-SA"/>
        </w:rPr>
        <w:t>4</w:t>
      </w:r>
      <w:r w:rsidRPr="008D35ED">
        <w:rPr>
          <w:lang w:bidi="ar-SA"/>
        </w:rPr>
        <w:t xml:space="preserve">); and, one study each for </w:t>
      </w:r>
      <w:r w:rsidR="005305FC" w:rsidRPr="008D35ED">
        <w:rPr>
          <w:lang w:bidi="ar-SA"/>
        </w:rPr>
        <w:t xml:space="preserve">the </w:t>
      </w:r>
      <w:r w:rsidRPr="008D35ED">
        <w:rPr>
          <w:lang w:bidi="ar-SA"/>
        </w:rPr>
        <w:t>postprandial glycaemic response to an insulin-modified intravenous glucose tolerance test (</w:t>
      </w:r>
      <w:r w:rsidR="00A407D3">
        <w:rPr>
          <w:lang w:bidi="ar-SA"/>
        </w:rPr>
        <w:t>Pedersen</w:t>
      </w:r>
      <w:r w:rsidRPr="008D35ED">
        <w:rPr>
          <w:lang w:bidi="ar-SA"/>
        </w:rPr>
        <w:t xml:space="preserve"> et al. 2016; see </w:t>
      </w:r>
      <w:r w:rsidR="0075189F">
        <w:rPr>
          <w:lang w:bidi="ar-SA"/>
        </w:rPr>
        <w:t>Appendix</w:t>
      </w:r>
      <w:r w:rsidRPr="008D35ED">
        <w:rPr>
          <w:lang w:bidi="ar-SA"/>
        </w:rPr>
        <w:t xml:space="preserve"> Section 2.4.2) or</w:t>
      </w:r>
      <w:r w:rsidR="004B63DD" w:rsidRPr="008D35ED">
        <w:rPr>
          <w:lang w:bidi="ar-SA"/>
        </w:rPr>
        <w:t xml:space="preserve"> </w:t>
      </w:r>
      <w:r w:rsidRPr="008D35ED">
        <w:rPr>
          <w:lang w:bidi="ar-SA"/>
        </w:rPr>
        <w:t xml:space="preserve">oral glucose tolerance test (van Dokkum et al. 1999; see </w:t>
      </w:r>
      <w:r w:rsidR="0075189F">
        <w:rPr>
          <w:lang w:bidi="ar-SA"/>
        </w:rPr>
        <w:t xml:space="preserve">Appendix </w:t>
      </w:r>
      <w:r w:rsidRPr="008D35ED">
        <w:rPr>
          <w:lang w:bidi="ar-SA"/>
        </w:rPr>
        <w:t>Section 2.4.2).</w:t>
      </w:r>
      <w:r w:rsidR="004B63DD" w:rsidRPr="008D35ED">
        <w:rPr>
          <w:lang w:bidi="ar-SA"/>
        </w:rPr>
        <w:t xml:space="preserve"> No statistically significant differences between the intervention </w:t>
      </w:r>
      <w:r w:rsidR="004B63DD" w:rsidRPr="00AA0FA9">
        <w:rPr>
          <w:lang w:bidi="ar-SA"/>
        </w:rPr>
        <w:t>and control conditions were reported for any of these primary outcomes, at the individual study level.</w:t>
      </w:r>
      <w:r w:rsidR="00F41EA9" w:rsidRPr="00AA0FA9">
        <w:rPr>
          <w:lang w:bidi="ar-SA"/>
        </w:rPr>
        <w:t xml:space="preserve"> </w:t>
      </w:r>
      <w:r w:rsidR="00F41EA9" w:rsidRPr="00683E8C">
        <w:rPr>
          <w:lang w:bidi="ar-SA"/>
        </w:rPr>
        <w:t xml:space="preserve">One study reported </w:t>
      </w:r>
      <w:r w:rsidR="00683E8C" w:rsidRPr="00683E8C">
        <w:rPr>
          <w:lang w:bidi="ar-SA"/>
        </w:rPr>
        <w:t xml:space="preserve">an </w:t>
      </w:r>
      <w:r w:rsidR="00F41EA9" w:rsidRPr="00683E8C">
        <w:rPr>
          <w:lang w:bidi="ar-SA"/>
        </w:rPr>
        <w:t>increase</w:t>
      </w:r>
      <w:r w:rsidR="00683E8C" w:rsidRPr="00683E8C">
        <w:rPr>
          <w:lang w:bidi="ar-SA"/>
        </w:rPr>
        <w:t>d</w:t>
      </w:r>
      <w:r w:rsidR="00F41EA9" w:rsidRPr="00683E8C">
        <w:rPr>
          <w:lang w:bidi="ar-SA"/>
        </w:rPr>
        <w:t xml:space="preserve"> fasting glucose in the intervention condition only (</w:t>
      </w:r>
      <w:r w:rsidR="00F41EA9" w:rsidRPr="00683E8C">
        <w:rPr>
          <w:i/>
          <w:lang w:bidi="ar-SA"/>
        </w:rPr>
        <w:t>P</w:t>
      </w:r>
      <w:r w:rsidR="00F41EA9" w:rsidRPr="00683E8C">
        <w:rPr>
          <w:lang w:bidi="ar-SA"/>
        </w:rPr>
        <w:t>&lt;0.05) and</w:t>
      </w:r>
      <w:r w:rsidR="00AB66B4" w:rsidRPr="00683E8C">
        <w:rPr>
          <w:lang w:bidi="ar-SA"/>
        </w:rPr>
        <w:t xml:space="preserve"> </w:t>
      </w:r>
      <w:r w:rsidR="00AA0FA9" w:rsidRPr="00AA0FA9">
        <w:rPr>
          <w:lang w:bidi="ar-SA"/>
        </w:rPr>
        <w:t xml:space="preserve">small increases in </w:t>
      </w:r>
      <w:r w:rsidR="00F41EA9" w:rsidRPr="00AA0FA9">
        <w:rPr>
          <w:lang w:bidi="ar-SA"/>
        </w:rPr>
        <w:t>g</w:t>
      </w:r>
      <w:r w:rsidR="00BB79A5" w:rsidRPr="00AA0FA9">
        <w:rPr>
          <w:lang w:bidi="ar-SA"/>
        </w:rPr>
        <w:t>lycosylated haemoglobin in both the intervention and control group (</w:t>
      </w:r>
      <w:r w:rsidR="00BB79A5" w:rsidRPr="00AA0FA9">
        <w:rPr>
          <w:i/>
          <w:lang w:bidi="ar-SA"/>
        </w:rPr>
        <w:t>P</w:t>
      </w:r>
      <w:r w:rsidR="00BB79A5" w:rsidRPr="00AA0FA9">
        <w:rPr>
          <w:lang w:bidi="ar-SA"/>
        </w:rPr>
        <w:t>&gt;0.05</w:t>
      </w:r>
      <w:r w:rsidR="00AA0FA9" w:rsidRPr="00AA0FA9">
        <w:rPr>
          <w:lang w:bidi="ar-SA"/>
        </w:rPr>
        <w:t>)</w:t>
      </w:r>
      <w:r w:rsidR="00BB79A5" w:rsidRPr="00AA0FA9">
        <w:rPr>
          <w:lang w:bidi="ar-SA"/>
        </w:rPr>
        <w:t xml:space="preserve"> for wit</w:t>
      </w:r>
      <w:r w:rsidR="00AA0FA9" w:rsidRPr="00AA0FA9">
        <w:rPr>
          <w:lang w:bidi="ar-SA"/>
        </w:rPr>
        <w:t xml:space="preserve">hin-group change over </w:t>
      </w:r>
      <w:r w:rsidR="00683E8C">
        <w:rPr>
          <w:lang w:bidi="ar-SA"/>
        </w:rPr>
        <w:t>the 12 week trial</w:t>
      </w:r>
      <w:r w:rsidR="00AA0FA9" w:rsidRPr="00AA0FA9">
        <w:rPr>
          <w:lang w:bidi="ar-SA"/>
        </w:rPr>
        <w:t xml:space="preserve"> (</w:t>
      </w:r>
      <w:r w:rsidR="00A407D3">
        <w:rPr>
          <w:lang w:bidi="ar-SA"/>
        </w:rPr>
        <w:t>Pedersen</w:t>
      </w:r>
      <w:r w:rsidR="00BB79A5" w:rsidRPr="00AA0FA9">
        <w:rPr>
          <w:lang w:bidi="ar-SA"/>
        </w:rPr>
        <w:t xml:space="preserve"> et al. 2016).</w:t>
      </w:r>
      <w:r w:rsidR="00BB79A5">
        <w:rPr>
          <w:lang w:bidi="ar-SA"/>
        </w:rPr>
        <w:t xml:space="preserve"> </w:t>
      </w:r>
      <w:r w:rsidR="003D38AA">
        <w:rPr>
          <w:lang w:bidi="ar-SA"/>
        </w:rPr>
        <w:t>We conducted a</w:t>
      </w:r>
      <w:r w:rsidR="00AB66B4" w:rsidRPr="008D35ED">
        <w:rPr>
          <w:lang w:bidi="ar-SA"/>
        </w:rPr>
        <w:t xml:space="preserve"> m</w:t>
      </w:r>
      <w:r w:rsidR="004B63DD" w:rsidRPr="008D35ED">
        <w:rPr>
          <w:lang w:bidi="ar-SA"/>
        </w:rPr>
        <w:t xml:space="preserve">eta-analysis for </w:t>
      </w:r>
      <w:r w:rsidR="00AB66B4" w:rsidRPr="008D35ED">
        <w:rPr>
          <w:lang w:bidi="ar-SA"/>
        </w:rPr>
        <w:t xml:space="preserve">blood glucose </w:t>
      </w:r>
      <w:r w:rsidR="004B63DD" w:rsidRPr="008D35ED">
        <w:rPr>
          <w:lang w:bidi="ar-SA"/>
        </w:rPr>
        <w:t>(discussed below)</w:t>
      </w:r>
      <w:r w:rsidR="00C661DC" w:rsidRPr="008D35ED">
        <w:rPr>
          <w:lang w:bidi="ar-SA"/>
        </w:rPr>
        <w:t>, because this outcome was assessed by at least two studies</w:t>
      </w:r>
      <w:r w:rsidR="004B63DD" w:rsidRPr="008D35ED">
        <w:rPr>
          <w:lang w:bidi="ar-SA"/>
        </w:rPr>
        <w:t>.</w:t>
      </w:r>
    </w:p>
    <w:p w14:paraId="18BDE10E" w14:textId="0D800746" w:rsidR="00F41EA9" w:rsidRPr="00683E8C" w:rsidRDefault="00F41EA9" w:rsidP="00822179">
      <w:pPr>
        <w:rPr>
          <w:color w:val="FF0000"/>
          <w:lang w:bidi="ar-SA"/>
        </w:rPr>
      </w:pPr>
    </w:p>
    <w:p w14:paraId="5537A615" w14:textId="58E6D851" w:rsidR="00F54E61" w:rsidRPr="006E2D1A" w:rsidRDefault="00293D8B" w:rsidP="00822179">
      <w:pPr>
        <w:rPr>
          <w:lang w:bidi="ar-SA"/>
        </w:rPr>
        <w:sectPr w:rsidR="00F54E61" w:rsidRPr="006E2D1A" w:rsidSect="000B7375">
          <w:pgSz w:w="11906" w:h="16838"/>
          <w:pgMar w:top="1418" w:right="1418" w:bottom="1418" w:left="1418" w:header="709" w:footer="709" w:gutter="0"/>
          <w:cols w:space="708"/>
          <w:docGrid w:linePitch="360"/>
        </w:sectPr>
      </w:pPr>
      <w:r w:rsidRPr="008D35ED">
        <w:rPr>
          <w:lang w:bidi="ar-SA"/>
        </w:rPr>
        <w:t>We also assessed</w:t>
      </w:r>
      <w:r w:rsidR="00334804" w:rsidRPr="008D35ED">
        <w:rPr>
          <w:lang w:bidi="ar-SA"/>
        </w:rPr>
        <w:t xml:space="preserve"> modulations to</w:t>
      </w:r>
      <w:r w:rsidRPr="008D35ED">
        <w:rPr>
          <w:lang w:bidi="ar-SA"/>
        </w:rPr>
        <w:t xml:space="preserve"> related</w:t>
      </w:r>
      <w:r w:rsidR="00C504F5" w:rsidRPr="008D35ED">
        <w:rPr>
          <w:lang w:bidi="ar-SA"/>
        </w:rPr>
        <w:t>, secondary</w:t>
      </w:r>
      <w:r w:rsidRPr="008D35ED">
        <w:rPr>
          <w:lang w:bidi="ar-SA"/>
        </w:rPr>
        <w:t xml:space="preserve"> </w:t>
      </w:r>
      <w:r w:rsidR="00334804" w:rsidRPr="008D35ED">
        <w:rPr>
          <w:lang w:bidi="ar-SA"/>
        </w:rPr>
        <w:t xml:space="preserve">outcomes </w:t>
      </w:r>
      <w:r w:rsidRPr="008D35ED">
        <w:rPr>
          <w:lang w:bidi="ar-SA"/>
        </w:rPr>
        <w:t>inc</w:t>
      </w:r>
      <w:r w:rsidRPr="008D35ED">
        <w:rPr>
          <w:szCs w:val="22"/>
          <w:lang w:bidi="ar-SA"/>
        </w:rPr>
        <w:t>luding</w:t>
      </w:r>
      <w:r w:rsidR="00334804" w:rsidRPr="008D35ED">
        <w:rPr>
          <w:szCs w:val="22"/>
          <w:lang w:bidi="ar-SA"/>
        </w:rPr>
        <w:t>:</w:t>
      </w:r>
      <w:r w:rsidRPr="008D35ED">
        <w:rPr>
          <w:szCs w:val="22"/>
          <w:lang w:bidi="ar-SA"/>
        </w:rPr>
        <w:t xml:space="preserve"> </w:t>
      </w:r>
      <w:r w:rsidR="009C11D3" w:rsidRPr="008D35ED">
        <w:rPr>
          <w:szCs w:val="22"/>
          <w:lang w:bidi="ar-SA"/>
        </w:rPr>
        <w:t>insulin</w:t>
      </w:r>
      <w:r w:rsidR="00A560F6" w:rsidRPr="008D35ED">
        <w:rPr>
          <w:szCs w:val="22"/>
          <w:lang w:bidi="ar-SA"/>
        </w:rPr>
        <w:t xml:space="preserve"> </w:t>
      </w:r>
      <w:r w:rsidR="00334804" w:rsidRPr="008D35ED">
        <w:rPr>
          <w:szCs w:val="22"/>
          <w:lang w:bidi="ar-SA"/>
        </w:rPr>
        <w:t xml:space="preserve">(reported by </w:t>
      </w:r>
      <w:r w:rsidR="00C504F5" w:rsidRPr="008D35ED">
        <w:rPr>
          <w:szCs w:val="22"/>
          <w:lang w:bidi="ar-SA"/>
        </w:rPr>
        <w:t>four</w:t>
      </w:r>
      <w:r w:rsidR="00334804" w:rsidRPr="008D35ED">
        <w:rPr>
          <w:szCs w:val="22"/>
          <w:lang w:bidi="ar-SA"/>
        </w:rPr>
        <w:t xml:space="preserve"> studies; see Table </w:t>
      </w:r>
      <w:r w:rsidR="00A65AE0">
        <w:rPr>
          <w:szCs w:val="22"/>
          <w:lang w:bidi="ar-SA"/>
        </w:rPr>
        <w:t>4</w:t>
      </w:r>
      <w:r w:rsidR="00334804" w:rsidRPr="008D35ED">
        <w:rPr>
          <w:szCs w:val="22"/>
          <w:lang w:bidi="ar-SA"/>
        </w:rPr>
        <w:t>);</w:t>
      </w:r>
      <w:r w:rsidRPr="008D35ED">
        <w:rPr>
          <w:szCs w:val="22"/>
          <w:lang w:bidi="ar-SA"/>
        </w:rPr>
        <w:t xml:space="preserve"> </w:t>
      </w:r>
      <w:r w:rsidRPr="008D35ED">
        <w:rPr>
          <w:rFonts w:cs="Arial"/>
          <w:szCs w:val="22"/>
        </w:rPr>
        <w:t>homeostatic model assessment of insulin resistance</w:t>
      </w:r>
      <w:r w:rsidRPr="008D35ED">
        <w:rPr>
          <w:szCs w:val="22"/>
          <w:lang w:bidi="ar-SA"/>
        </w:rPr>
        <w:t xml:space="preserve"> (HOMA</w:t>
      </w:r>
      <w:r w:rsidRPr="008D35ED">
        <w:rPr>
          <w:lang w:bidi="ar-SA"/>
        </w:rPr>
        <w:t>-IR</w:t>
      </w:r>
      <w:r w:rsidR="00334804" w:rsidRPr="008D35ED">
        <w:rPr>
          <w:lang w:bidi="ar-SA"/>
        </w:rPr>
        <w:t>,</w:t>
      </w:r>
      <w:r w:rsidR="00334804" w:rsidRPr="008D35ED">
        <w:rPr>
          <w:szCs w:val="22"/>
          <w:lang w:bidi="ar-SA"/>
        </w:rPr>
        <w:t xml:space="preserve"> reported by two studies; see Table </w:t>
      </w:r>
      <w:r w:rsidR="00A65AE0">
        <w:rPr>
          <w:szCs w:val="22"/>
          <w:lang w:bidi="ar-SA"/>
        </w:rPr>
        <w:t>4</w:t>
      </w:r>
      <w:r w:rsidR="00334804" w:rsidRPr="008D35ED">
        <w:rPr>
          <w:lang w:bidi="ar-SA"/>
        </w:rPr>
        <w:t>); postprandial insulin response to</w:t>
      </w:r>
      <w:r w:rsidR="00566799" w:rsidRPr="008D35ED">
        <w:rPr>
          <w:lang w:bidi="ar-SA"/>
        </w:rPr>
        <w:t xml:space="preserve"> an</w:t>
      </w:r>
      <w:r w:rsidR="00334804" w:rsidRPr="008D35ED">
        <w:rPr>
          <w:lang w:bidi="ar-SA"/>
        </w:rPr>
        <w:t xml:space="preserve"> </w:t>
      </w:r>
      <w:r w:rsidR="00566799" w:rsidRPr="008D35ED">
        <w:rPr>
          <w:lang w:bidi="ar-SA"/>
        </w:rPr>
        <w:t>insulin-modified intravenous glucose tolerance test (</w:t>
      </w:r>
      <w:r w:rsidR="00A407D3">
        <w:rPr>
          <w:lang w:bidi="ar-SA"/>
        </w:rPr>
        <w:t>Pedersen</w:t>
      </w:r>
      <w:r w:rsidR="00566799" w:rsidRPr="008D35ED">
        <w:rPr>
          <w:lang w:bidi="ar-SA"/>
        </w:rPr>
        <w:t xml:space="preserve"> et al. 2016) or oral glucose tolerance test (van Dokkum et al. 1999);</w:t>
      </w:r>
      <w:r w:rsidR="00334804" w:rsidRPr="008D35ED">
        <w:rPr>
          <w:lang w:bidi="ar-SA"/>
        </w:rPr>
        <w:t xml:space="preserve"> </w:t>
      </w:r>
      <w:r w:rsidR="00566799" w:rsidRPr="008D35ED">
        <w:rPr>
          <w:lang w:bidi="ar-SA"/>
        </w:rPr>
        <w:t xml:space="preserve">peripheral insulin sensitivity and adipose tissue insulin sensitivity (Canfora et al. 2017); and, HOMA for insulin sensitivity and HOMA for </w:t>
      </w:r>
      <w:r w:rsidR="00566799" w:rsidRPr="008D35ED">
        <w:rPr>
          <w:rFonts w:cs="Arial"/>
          <w:lang w:bidi="ar-SA"/>
        </w:rPr>
        <w:t>β</w:t>
      </w:r>
      <w:r w:rsidR="00566799" w:rsidRPr="008D35ED">
        <w:rPr>
          <w:lang w:bidi="ar-SA"/>
        </w:rPr>
        <w:t>-cell function (</w:t>
      </w:r>
      <w:r w:rsidR="00A407D3">
        <w:rPr>
          <w:lang w:bidi="ar-SA"/>
        </w:rPr>
        <w:t>Pedersen</w:t>
      </w:r>
      <w:r w:rsidR="00566799" w:rsidRPr="008D35ED">
        <w:rPr>
          <w:lang w:bidi="ar-SA"/>
        </w:rPr>
        <w:t xml:space="preserve"> et al. 2016)</w:t>
      </w:r>
      <w:r w:rsidRPr="008D35ED">
        <w:rPr>
          <w:lang w:bidi="ar-SA"/>
        </w:rPr>
        <w:t>.</w:t>
      </w:r>
      <w:r w:rsidR="00185490" w:rsidRPr="008D35ED">
        <w:rPr>
          <w:lang w:bidi="ar-SA"/>
        </w:rPr>
        <w:t xml:space="preserve"> </w:t>
      </w:r>
      <w:r w:rsidR="00AB66B4" w:rsidRPr="008D35ED">
        <w:rPr>
          <w:lang w:bidi="ar-SA"/>
        </w:rPr>
        <w:t>As i</w:t>
      </w:r>
      <w:r w:rsidR="001A3C3C" w:rsidRPr="008D35ED">
        <w:rPr>
          <w:lang w:bidi="ar-SA"/>
        </w:rPr>
        <w:t xml:space="preserve">nsulin and HOMA-IR </w:t>
      </w:r>
      <w:r w:rsidR="00AB66B4" w:rsidRPr="008D35ED">
        <w:rPr>
          <w:lang w:bidi="ar-SA"/>
        </w:rPr>
        <w:t>w</w:t>
      </w:r>
      <w:r w:rsidR="00B020F2">
        <w:rPr>
          <w:lang w:bidi="ar-SA"/>
        </w:rPr>
        <w:t>ere</w:t>
      </w:r>
      <w:r w:rsidR="00AB66B4" w:rsidRPr="008D35ED">
        <w:rPr>
          <w:lang w:bidi="ar-SA"/>
        </w:rPr>
        <w:t xml:space="preserve"> assessed by at least two studies, these </w:t>
      </w:r>
      <w:r w:rsidR="001A3C3C" w:rsidRPr="008D35ED">
        <w:rPr>
          <w:lang w:bidi="ar-SA"/>
        </w:rPr>
        <w:t>results are</w:t>
      </w:r>
      <w:r w:rsidR="00185490" w:rsidRPr="008D35ED">
        <w:rPr>
          <w:lang w:bidi="ar-SA"/>
        </w:rPr>
        <w:t xml:space="preserve"> </w:t>
      </w:r>
      <w:r w:rsidR="00C562DD" w:rsidRPr="008D35ED">
        <w:rPr>
          <w:lang w:bidi="ar-SA"/>
        </w:rPr>
        <w:t xml:space="preserve">included </w:t>
      </w:r>
      <w:r w:rsidR="00AB66B4" w:rsidRPr="008D35ED">
        <w:rPr>
          <w:lang w:bidi="ar-SA"/>
        </w:rPr>
        <w:t xml:space="preserve">in Table </w:t>
      </w:r>
      <w:r w:rsidR="00A65AE0">
        <w:rPr>
          <w:lang w:bidi="ar-SA"/>
        </w:rPr>
        <w:t>4</w:t>
      </w:r>
      <w:r w:rsidR="00AB66B4" w:rsidRPr="008D35ED">
        <w:rPr>
          <w:lang w:bidi="ar-SA"/>
        </w:rPr>
        <w:t xml:space="preserve"> and are further assessed by meta-analyses (discussed below)</w:t>
      </w:r>
      <w:r w:rsidR="00C504F5" w:rsidRPr="008D35ED">
        <w:rPr>
          <w:lang w:bidi="ar-SA"/>
        </w:rPr>
        <w:t>. T</w:t>
      </w:r>
      <w:r w:rsidR="00334804" w:rsidRPr="008D35ED">
        <w:rPr>
          <w:lang w:bidi="ar-SA"/>
        </w:rPr>
        <w:t xml:space="preserve">he results of </w:t>
      </w:r>
      <w:r w:rsidR="00185490" w:rsidRPr="008D35ED">
        <w:rPr>
          <w:lang w:bidi="ar-SA"/>
        </w:rPr>
        <w:t>other</w:t>
      </w:r>
      <w:r w:rsidR="00334804" w:rsidRPr="008D35ED">
        <w:rPr>
          <w:lang w:bidi="ar-SA"/>
        </w:rPr>
        <w:t xml:space="preserve"> </w:t>
      </w:r>
      <w:r w:rsidR="007C2A80" w:rsidRPr="008D35ED">
        <w:rPr>
          <w:lang w:bidi="ar-SA"/>
        </w:rPr>
        <w:t>secondary outcomes</w:t>
      </w:r>
      <w:r w:rsidR="00334804" w:rsidRPr="008D35ED">
        <w:rPr>
          <w:lang w:bidi="ar-SA"/>
        </w:rPr>
        <w:t xml:space="preserve"> </w:t>
      </w:r>
      <w:r w:rsidR="00566799" w:rsidRPr="008D35ED">
        <w:rPr>
          <w:lang w:bidi="ar-SA"/>
        </w:rPr>
        <w:t xml:space="preserve">are detailed in </w:t>
      </w:r>
      <w:r w:rsidR="0075189F">
        <w:rPr>
          <w:lang w:bidi="ar-SA"/>
        </w:rPr>
        <w:t xml:space="preserve">Appendix </w:t>
      </w:r>
      <w:r w:rsidR="00566799" w:rsidRPr="008D35ED">
        <w:rPr>
          <w:lang w:bidi="ar-SA"/>
        </w:rPr>
        <w:t>Section 2.4.2. No statistically significant differences between the intervention and control conditions were reported for any of the secondary outcomes. One exception was for insulin</w:t>
      </w:r>
      <w:r w:rsidR="00C661DC" w:rsidRPr="008D35ED">
        <w:rPr>
          <w:lang w:bidi="ar-SA"/>
        </w:rPr>
        <w:t xml:space="preserve">, where one out of </w:t>
      </w:r>
      <w:r w:rsidR="00C504F5" w:rsidRPr="008D35ED">
        <w:rPr>
          <w:lang w:bidi="ar-SA"/>
        </w:rPr>
        <w:t>four</w:t>
      </w:r>
      <w:r w:rsidR="00566799" w:rsidRPr="008D35ED">
        <w:rPr>
          <w:lang w:bidi="ar-SA"/>
        </w:rPr>
        <w:t xml:space="preserve"> studies did report a di</w:t>
      </w:r>
      <w:r w:rsidR="00C504F5" w:rsidRPr="008D35ED">
        <w:rPr>
          <w:lang w:bidi="ar-SA"/>
        </w:rPr>
        <w:t xml:space="preserve">fference (Vulevic et al. 2013; see Table </w:t>
      </w:r>
      <w:r w:rsidR="00A65AE0">
        <w:rPr>
          <w:lang w:bidi="ar-SA"/>
        </w:rPr>
        <w:t>4</w:t>
      </w:r>
      <w:r w:rsidR="00C504F5" w:rsidRPr="008D35ED">
        <w:rPr>
          <w:lang w:bidi="ar-SA"/>
        </w:rPr>
        <w:t>). It</w:t>
      </w:r>
      <w:r w:rsidR="00566799" w:rsidRPr="008D35ED">
        <w:rPr>
          <w:lang w:bidi="ar-SA"/>
        </w:rPr>
        <w:t xml:space="preserve"> is not stated</w:t>
      </w:r>
      <w:r w:rsidR="00C504F5" w:rsidRPr="008D35ED">
        <w:rPr>
          <w:lang w:bidi="ar-SA"/>
        </w:rPr>
        <w:t>, however,</w:t>
      </w:r>
      <w:r w:rsidR="00566799" w:rsidRPr="008D35ED">
        <w:rPr>
          <w:lang w:bidi="ar-SA"/>
        </w:rPr>
        <w:t xml:space="preserve"> if</w:t>
      </w:r>
      <w:r w:rsidR="009C11D3" w:rsidRPr="008D35ED">
        <w:rPr>
          <w:lang w:bidi="ar-SA"/>
        </w:rPr>
        <w:t xml:space="preserve"> </w:t>
      </w:r>
      <w:r w:rsidR="00C504F5" w:rsidRPr="008D35ED">
        <w:rPr>
          <w:lang w:bidi="ar-SA"/>
        </w:rPr>
        <w:t>Vulevic et al. (2013)</w:t>
      </w:r>
      <w:r w:rsidR="009C11D3" w:rsidRPr="008D35ED">
        <w:rPr>
          <w:lang w:bidi="ar-SA"/>
        </w:rPr>
        <w:t xml:space="preserve"> measured</w:t>
      </w:r>
      <w:r w:rsidR="00566799" w:rsidRPr="008D35ED">
        <w:rPr>
          <w:lang w:bidi="ar-SA"/>
        </w:rPr>
        <w:t xml:space="preserve"> insulin in a fasting state</w:t>
      </w:r>
      <w:r w:rsidR="00966EBB">
        <w:rPr>
          <w:lang w:bidi="ar-SA"/>
        </w:rPr>
        <w:t xml:space="preserve"> at all time points</w:t>
      </w:r>
      <w:r w:rsidR="00C504F5" w:rsidRPr="008D35ED">
        <w:rPr>
          <w:lang w:bidi="ar-SA"/>
        </w:rPr>
        <w:t>, unlike th</w:t>
      </w:r>
      <w:r w:rsidR="00457A06" w:rsidRPr="008D35ED">
        <w:rPr>
          <w:lang w:bidi="ar-SA"/>
        </w:rPr>
        <w:t>e other t</w:t>
      </w:r>
      <w:r w:rsidR="00C504F5" w:rsidRPr="008D35ED">
        <w:rPr>
          <w:lang w:bidi="ar-SA"/>
        </w:rPr>
        <w:t>hree</w:t>
      </w:r>
      <w:r w:rsidR="00457A06" w:rsidRPr="008D35ED">
        <w:rPr>
          <w:lang w:bidi="ar-SA"/>
        </w:rPr>
        <w:t xml:space="preserve"> studies </w:t>
      </w:r>
      <w:r w:rsidR="00C504F5" w:rsidRPr="008D35ED">
        <w:rPr>
          <w:lang w:bidi="ar-SA"/>
        </w:rPr>
        <w:t xml:space="preserve">that </w:t>
      </w:r>
      <w:r w:rsidR="00457A06" w:rsidRPr="008D35ED">
        <w:rPr>
          <w:lang w:bidi="ar-SA"/>
        </w:rPr>
        <w:t>reported fasting insulin with no statistically significant differences (</w:t>
      </w:r>
      <w:r w:rsidR="00C661DC" w:rsidRPr="008D35ED">
        <w:rPr>
          <w:lang w:bidi="ar-SA"/>
        </w:rPr>
        <w:t xml:space="preserve">van Dokkum et al. 1999, </w:t>
      </w:r>
      <w:r w:rsidR="00A407D3">
        <w:rPr>
          <w:lang w:bidi="ar-SA"/>
        </w:rPr>
        <w:t>Pedersen</w:t>
      </w:r>
      <w:r w:rsidR="00C661DC" w:rsidRPr="008D35ED">
        <w:rPr>
          <w:lang w:bidi="ar-SA"/>
        </w:rPr>
        <w:t xml:space="preserve"> et al. </w:t>
      </w:r>
      <w:r w:rsidR="00C661DC" w:rsidRPr="009F4600">
        <w:rPr>
          <w:lang w:bidi="ar-SA"/>
        </w:rPr>
        <w:t>2016</w:t>
      </w:r>
      <w:r w:rsidR="009F4600" w:rsidRPr="009F4600">
        <w:rPr>
          <w:lang w:bidi="ar-SA"/>
        </w:rPr>
        <w:t>, and</w:t>
      </w:r>
      <w:r w:rsidR="00C661DC" w:rsidRPr="009F4600">
        <w:rPr>
          <w:lang w:bidi="ar-SA"/>
        </w:rPr>
        <w:t xml:space="preserve"> Canfora et al. 2017; </w:t>
      </w:r>
      <w:r w:rsidR="00457A06" w:rsidRPr="009F4600">
        <w:rPr>
          <w:lang w:bidi="ar-SA"/>
        </w:rPr>
        <w:t xml:space="preserve">see Table </w:t>
      </w:r>
      <w:r w:rsidR="00A65AE0">
        <w:rPr>
          <w:lang w:bidi="ar-SA"/>
        </w:rPr>
        <w:t>4</w:t>
      </w:r>
      <w:r w:rsidR="00457A06" w:rsidRPr="009F4600">
        <w:rPr>
          <w:lang w:bidi="ar-SA"/>
        </w:rPr>
        <w:t>)</w:t>
      </w:r>
      <w:r w:rsidR="00566799" w:rsidRPr="009F4600">
        <w:rPr>
          <w:lang w:bidi="ar-SA"/>
        </w:rPr>
        <w:t>.</w:t>
      </w:r>
      <w:r w:rsidR="00AA0FA9" w:rsidRPr="009F4600">
        <w:rPr>
          <w:lang w:bidi="ar-SA"/>
        </w:rPr>
        <w:t xml:space="preserve"> One study reported an increased</w:t>
      </w:r>
      <w:r w:rsidR="00683E8C" w:rsidRPr="009F4600">
        <w:rPr>
          <w:lang w:bidi="ar-SA"/>
        </w:rPr>
        <w:t xml:space="preserve"> postprandial insulin (incremental AUC) response to an insulin-modified intravenous glucose tolerance test in the intervention condition only</w:t>
      </w:r>
      <w:r w:rsidR="009F4600" w:rsidRPr="009F4600">
        <w:rPr>
          <w:lang w:bidi="ar-SA"/>
        </w:rPr>
        <w:t>,</w:t>
      </w:r>
      <w:r w:rsidR="00683E8C" w:rsidRPr="009F4600">
        <w:rPr>
          <w:lang w:bidi="ar-SA"/>
        </w:rPr>
        <w:t xml:space="preserve"> over the 12 week trial (</w:t>
      </w:r>
      <w:r w:rsidR="00683E8C" w:rsidRPr="009F4600">
        <w:rPr>
          <w:i/>
          <w:lang w:bidi="ar-SA"/>
        </w:rPr>
        <w:t>P</w:t>
      </w:r>
      <w:r w:rsidR="00683E8C" w:rsidRPr="009F4600">
        <w:rPr>
          <w:lang w:bidi="ar-SA"/>
        </w:rPr>
        <w:t>&lt;0.05</w:t>
      </w:r>
      <w:r w:rsidR="009F4600" w:rsidRPr="009F4600">
        <w:rPr>
          <w:lang w:bidi="ar-SA"/>
        </w:rPr>
        <w:t xml:space="preserve">; </w:t>
      </w:r>
      <w:r w:rsidR="00A407D3">
        <w:rPr>
          <w:lang w:bidi="ar-SA"/>
        </w:rPr>
        <w:t>Pedersen</w:t>
      </w:r>
      <w:r w:rsidR="009F4600" w:rsidRPr="009F4600">
        <w:rPr>
          <w:lang w:bidi="ar-SA"/>
        </w:rPr>
        <w:t xml:space="preserve"> et al. 2016)</w:t>
      </w:r>
      <w:r w:rsidR="00683E8C" w:rsidRPr="009F4600">
        <w:rPr>
          <w:lang w:bidi="ar-SA"/>
        </w:rPr>
        <w:t>.</w:t>
      </w:r>
    </w:p>
    <w:p w14:paraId="731A58FB" w14:textId="03AAEA64" w:rsidR="0028062D" w:rsidRDefault="0028062D" w:rsidP="0028062D">
      <w:pPr>
        <w:widowControl/>
        <w:rPr>
          <w:rFonts w:cs="Arial"/>
          <w:b/>
          <w:szCs w:val="22"/>
        </w:rPr>
      </w:pPr>
      <w:r w:rsidRPr="00FE57C1">
        <w:rPr>
          <w:b/>
          <w:lang w:bidi="ar-SA"/>
        </w:rPr>
        <w:lastRenderedPageBreak/>
        <w:t xml:space="preserve">Table </w:t>
      </w:r>
      <w:r w:rsidR="00A65AE0">
        <w:rPr>
          <w:b/>
          <w:lang w:bidi="ar-SA"/>
        </w:rPr>
        <w:t>4</w:t>
      </w:r>
      <w:r w:rsidRPr="00FE57C1">
        <w:rPr>
          <w:b/>
          <w:lang w:bidi="ar-SA"/>
        </w:rPr>
        <w:t>:</w:t>
      </w:r>
      <w:r>
        <w:rPr>
          <w:lang w:bidi="ar-SA"/>
        </w:rPr>
        <w:t xml:space="preserve"> </w:t>
      </w:r>
      <w:r w:rsidRPr="00776C8A">
        <w:rPr>
          <w:rFonts w:cs="Arial"/>
          <w:b/>
          <w:szCs w:val="22"/>
        </w:rPr>
        <w:t>The association between galacto-oligosaccharide</w:t>
      </w:r>
      <w:r w:rsidR="005F4226">
        <w:rPr>
          <w:rFonts w:cs="Arial"/>
          <w:b/>
          <w:szCs w:val="22"/>
        </w:rPr>
        <w:t xml:space="preserve"> intake</w:t>
      </w:r>
      <w:r w:rsidRPr="00776C8A">
        <w:rPr>
          <w:rFonts w:cs="Arial"/>
          <w:b/>
          <w:szCs w:val="22"/>
        </w:rPr>
        <w:t xml:space="preserve"> and </w:t>
      </w:r>
      <w:r>
        <w:rPr>
          <w:rFonts w:cs="Arial"/>
          <w:b/>
          <w:szCs w:val="22"/>
        </w:rPr>
        <w:t xml:space="preserve">blood </w:t>
      </w:r>
      <w:r w:rsidRPr="008D35ED">
        <w:rPr>
          <w:rFonts w:cs="Arial"/>
          <w:b/>
          <w:szCs w:val="22"/>
        </w:rPr>
        <w:t xml:space="preserve">glucose </w:t>
      </w:r>
      <w:r w:rsidR="00F11526" w:rsidRPr="008D35ED">
        <w:rPr>
          <w:rFonts w:cs="Arial"/>
          <w:b/>
          <w:szCs w:val="22"/>
        </w:rPr>
        <w:t xml:space="preserve">and insulin </w:t>
      </w:r>
      <w:r w:rsidRPr="008D35ED">
        <w:rPr>
          <w:rFonts w:cs="Arial"/>
          <w:b/>
          <w:szCs w:val="22"/>
        </w:rPr>
        <w:t>outcomes</w:t>
      </w:r>
      <w:r w:rsidRPr="00776C8A">
        <w:rPr>
          <w:rFonts w:cs="Arial"/>
          <w:b/>
          <w:szCs w:val="22"/>
        </w:rPr>
        <w:t>.</w:t>
      </w:r>
    </w:p>
    <w:tbl>
      <w:tblPr>
        <w:tblStyle w:val="TableGrid"/>
        <w:tblW w:w="15588" w:type="dxa"/>
        <w:tblInd w:w="-803" w:type="dxa"/>
        <w:tblLayout w:type="fixed"/>
        <w:tblLook w:val="04A0" w:firstRow="1" w:lastRow="0" w:firstColumn="1" w:lastColumn="0" w:noHBand="0" w:noVBand="1"/>
        <w:tblCaption w:val="Table 4: The association between galacto-oligosaccharide intake and blood glucose and insulin outcomes."/>
        <w:tblDescription w:val="Table 4 contains 18 columns. Column 1 reflects the study of interest, by listing the first author and year of publication. Column 2 lists the GOS dose level used in the condition. There are 4 sets of 4 columns remaining, which repeat the same statistics for one of 4 outcomes. The first outcome (columns 3-6) is blood glucose. The second outcome (columns 7-10) is HbA1c. The third outcome (columns 11-14) is insulin. The fourth outcome (columns 15-18) is HOMA-IR. Within these 4 sets, the first column (e.g. column 3) lists the baseline mean and standard deviation or standard error. The second (e.g. column 4) lists the endpoint mean and standard deviation or standard error. The third (e.g. column 5) lists the mean difference and standard error. The fourth (e.g. column 6) lists the P value provided by the authors, for the difference in outcome between placebo and intervention group at follow-up or between placebo and intervention group, over time."/>
      </w:tblPr>
      <w:tblGrid>
        <w:gridCol w:w="1118"/>
        <w:gridCol w:w="843"/>
        <w:gridCol w:w="869"/>
        <w:gridCol w:w="851"/>
        <w:gridCol w:w="1134"/>
        <w:gridCol w:w="567"/>
        <w:gridCol w:w="992"/>
        <w:gridCol w:w="851"/>
        <w:gridCol w:w="992"/>
        <w:gridCol w:w="567"/>
        <w:gridCol w:w="850"/>
        <w:gridCol w:w="851"/>
        <w:gridCol w:w="992"/>
        <w:gridCol w:w="567"/>
        <w:gridCol w:w="992"/>
        <w:gridCol w:w="1134"/>
        <w:gridCol w:w="851"/>
        <w:gridCol w:w="567"/>
      </w:tblGrid>
      <w:tr w:rsidR="00B5416E" w:rsidRPr="00AB00B0" w14:paraId="4AEF29AC" w14:textId="77777777" w:rsidTr="00AE37C2">
        <w:tc>
          <w:tcPr>
            <w:tcW w:w="1118" w:type="dxa"/>
            <w:vMerge w:val="restart"/>
          </w:tcPr>
          <w:p w14:paraId="440847EA" w14:textId="77777777" w:rsidR="00B5416E" w:rsidRPr="00AB00B0" w:rsidRDefault="00B5416E" w:rsidP="00BF1654">
            <w:pPr>
              <w:rPr>
                <w:b/>
                <w:sz w:val="18"/>
                <w:szCs w:val="18"/>
              </w:rPr>
            </w:pPr>
            <w:r w:rsidRPr="00AB00B0">
              <w:rPr>
                <w:b/>
                <w:sz w:val="18"/>
                <w:szCs w:val="18"/>
              </w:rPr>
              <w:t>First author (year)</w:t>
            </w:r>
          </w:p>
        </w:tc>
        <w:tc>
          <w:tcPr>
            <w:tcW w:w="843" w:type="dxa"/>
            <w:vMerge w:val="restart"/>
          </w:tcPr>
          <w:p w14:paraId="0CBBC210" w14:textId="333AF93C" w:rsidR="00B5416E" w:rsidRPr="00AB00B0" w:rsidRDefault="003124E5" w:rsidP="00BF1654">
            <w:pPr>
              <w:rPr>
                <w:b/>
                <w:sz w:val="18"/>
                <w:szCs w:val="18"/>
              </w:rPr>
            </w:pPr>
            <w:r>
              <w:rPr>
                <w:b/>
                <w:sz w:val="18"/>
                <w:szCs w:val="18"/>
              </w:rPr>
              <w:t>GOS intak</w:t>
            </w:r>
            <w:r w:rsidR="00B5416E" w:rsidRPr="00AB00B0">
              <w:rPr>
                <w:b/>
                <w:sz w:val="18"/>
                <w:szCs w:val="18"/>
              </w:rPr>
              <w:t>e level (g/day)</w:t>
            </w:r>
          </w:p>
        </w:tc>
        <w:tc>
          <w:tcPr>
            <w:tcW w:w="3421" w:type="dxa"/>
            <w:gridSpan w:val="4"/>
          </w:tcPr>
          <w:p w14:paraId="1A10A26D" w14:textId="77777777" w:rsidR="00B5416E" w:rsidRPr="00693275" w:rsidRDefault="00B5416E" w:rsidP="00BF1654">
            <w:pPr>
              <w:rPr>
                <w:b/>
                <w:sz w:val="18"/>
                <w:szCs w:val="18"/>
                <w:vertAlign w:val="superscript"/>
              </w:rPr>
            </w:pPr>
            <w:r w:rsidRPr="00693275">
              <w:rPr>
                <w:b/>
                <w:sz w:val="18"/>
                <w:szCs w:val="18"/>
              </w:rPr>
              <w:t>Glucose (mmol/L)</w:t>
            </w:r>
            <w:r>
              <w:rPr>
                <w:b/>
                <w:sz w:val="18"/>
                <w:szCs w:val="18"/>
                <w:vertAlign w:val="superscript"/>
              </w:rPr>
              <w:t>1</w:t>
            </w:r>
          </w:p>
        </w:tc>
        <w:tc>
          <w:tcPr>
            <w:tcW w:w="3402" w:type="dxa"/>
            <w:gridSpan w:val="4"/>
          </w:tcPr>
          <w:p w14:paraId="70E26BFB" w14:textId="77777777" w:rsidR="00B5416E" w:rsidRPr="00B5416E" w:rsidRDefault="00B5416E" w:rsidP="00B5416E">
            <w:pPr>
              <w:rPr>
                <w:b/>
                <w:sz w:val="18"/>
                <w:szCs w:val="18"/>
              </w:rPr>
            </w:pPr>
            <w:r w:rsidRPr="00B5416E">
              <w:rPr>
                <w:b/>
                <w:sz w:val="18"/>
                <w:szCs w:val="18"/>
              </w:rPr>
              <w:t>HbA</w:t>
            </w:r>
            <w:r w:rsidRPr="00B5416E">
              <w:rPr>
                <w:b/>
                <w:sz w:val="18"/>
                <w:szCs w:val="18"/>
                <w:vertAlign w:val="subscript"/>
              </w:rPr>
              <w:t>1c</w:t>
            </w:r>
            <w:r w:rsidRPr="00B5416E">
              <w:rPr>
                <w:b/>
                <w:sz w:val="18"/>
                <w:szCs w:val="18"/>
              </w:rPr>
              <w:t xml:space="preserve"> (%)</w:t>
            </w:r>
          </w:p>
          <w:p w14:paraId="0B33F56F" w14:textId="7E0CC367" w:rsidR="00B5416E" w:rsidRPr="00B5416E" w:rsidRDefault="00B5416E" w:rsidP="00BF1654">
            <w:pPr>
              <w:rPr>
                <w:b/>
                <w:sz w:val="18"/>
                <w:szCs w:val="18"/>
                <w:vertAlign w:val="superscript"/>
              </w:rPr>
            </w:pPr>
          </w:p>
        </w:tc>
        <w:tc>
          <w:tcPr>
            <w:tcW w:w="3260" w:type="dxa"/>
            <w:gridSpan w:val="4"/>
          </w:tcPr>
          <w:p w14:paraId="4C4944A6" w14:textId="00265DCF" w:rsidR="00B5416E" w:rsidRPr="00B5416E" w:rsidRDefault="00B5416E" w:rsidP="00B5416E">
            <w:pPr>
              <w:rPr>
                <w:b/>
                <w:sz w:val="18"/>
                <w:szCs w:val="18"/>
              </w:rPr>
            </w:pPr>
            <w:r w:rsidRPr="00B5416E">
              <w:rPr>
                <w:b/>
                <w:sz w:val="18"/>
                <w:szCs w:val="18"/>
              </w:rPr>
              <w:t>Insulin (mU/L or pmol/L)</w:t>
            </w:r>
            <w:r w:rsidRPr="00B5416E">
              <w:rPr>
                <w:b/>
                <w:sz w:val="18"/>
                <w:szCs w:val="18"/>
                <w:vertAlign w:val="superscript"/>
              </w:rPr>
              <w:t>1,11</w:t>
            </w:r>
          </w:p>
        </w:tc>
        <w:tc>
          <w:tcPr>
            <w:tcW w:w="3544" w:type="dxa"/>
            <w:gridSpan w:val="4"/>
          </w:tcPr>
          <w:p w14:paraId="31DB739D" w14:textId="77777777" w:rsidR="00B5416E" w:rsidRPr="005B6CD7" w:rsidRDefault="00B5416E" w:rsidP="00BF1654">
            <w:pPr>
              <w:rPr>
                <w:b/>
                <w:sz w:val="18"/>
                <w:szCs w:val="18"/>
                <w:highlight w:val="yellow"/>
                <w:vertAlign w:val="superscript"/>
              </w:rPr>
            </w:pPr>
            <w:r w:rsidRPr="00E5650A">
              <w:rPr>
                <w:b/>
                <w:sz w:val="18"/>
                <w:szCs w:val="18"/>
              </w:rPr>
              <w:t>HOMA-IR</w:t>
            </w:r>
            <w:r>
              <w:rPr>
                <w:b/>
                <w:sz w:val="18"/>
                <w:szCs w:val="18"/>
                <w:vertAlign w:val="superscript"/>
              </w:rPr>
              <w:t>2</w:t>
            </w:r>
          </w:p>
        </w:tc>
      </w:tr>
      <w:tr w:rsidR="00B5416E" w:rsidRPr="00AB00B0" w14:paraId="7626E6A7" w14:textId="77777777" w:rsidTr="00AE37C2">
        <w:tc>
          <w:tcPr>
            <w:tcW w:w="1118" w:type="dxa"/>
            <w:vMerge/>
          </w:tcPr>
          <w:p w14:paraId="541E8AF1" w14:textId="77777777" w:rsidR="00B5416E" w:rsidRPr="00AB00B0" w:rsidRDefault="00B5416E" w:rsidP="00B5416E">
            <w:pPr>
              <w:rPr>
                <w:b/>
                <w:sz w:val="18"/>
                <w:szCs w:val="18"/>
              </w:rPr>
            </w:pPr>
          </w:p>
        </w:tc>
        <w:tc>
          <w:tcPr>
            <w:tcW w:w="843" w:type="dxa"/>
            <w:vMerge/>
          </w:tcPr>
          <w:p w14:paraId="32C52920" w14:textId="77777777" w:rsidR="00B5416E" w:rsidRPr="00AB00B0" w:rsidRDefault="00B5416E" w:rsidP="00B5416E">
            <w:pPr>
              <w:rPr>
                <w:b/>
                <w:sz w:val="18"/>
                <w:szCs w:val="18"/>
              </w:rPr>
            </w:pPr>
          </w:p>
        </w:tc>
        <w:tc>
          <w:tcPr>
            <w:tcW w:w="869" w:type="dxa"/>
          </w:tcPr>
          <w:p w14:paraId="50C787D7" w14:textId="77777777" w:rsidR="00B5416E" w:rsidRPr="00E44B71" w:rsidRDefault="00B5416E" w:rsidP="00B5416E">
            <w:pPr>
              <w:rPr>
                <w:b/>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Pr>
                <w:b/>
                <w:sz w:val="18"/>
                <w:szCs w:val="18"/>
                <w:vertAlign w:val="superscript"/>
              </w:rPr>
              <w:t>3</w:t>
            </w:r>
            <w:r w:rsidRPr="00E44B71">
              <w:rPr>
                <w:b/>
                <w:sz w:val="18"/>
                <w:szCs w:val="18"/>
              </w:rPr>
              <w:t>)</w:t>
            </w:r>
          </w:p>
        </w:tc>
        <w:tc>
          <w:tcPr>
            <w:tcW w:w="851" w:type="dxa"/>
          </w:tcPr>
          <w:p w14:paraId="11B32D6F" w14:textId="031B4C6F" w:rsidR="00B5416E" w:rsidRPr="0040116E" w:rsidRDefault="00B92662" w:rsidP="00B5416E">
            <w:pPr>
              <w:rPr>
                <w:b/>
                <w:strike/>
                <w:sz w:val="18"/>
                <w:szCs w:val="18"/>
                <w:vertAlign w:val="superscript"/>
              </w:rPr>
            </w:pPr>
            <w:r>
              <w:rPr>
                <w:b/>
                <w:sz w:val="18"/>
                <w:szCs w:val="18"/>
              </w:rPr>
              <w:t>Follow-up</w:t>
            </w:r>
            <w:r w:rsidR="00B5416E" w:rsidRPr="00E44B71">
              <w:rPr>
                <w:b/>
                <w:sz w:val="18"/>
                <w:szCs w:val="18"/>
              </w:rPr>
              <w:t xml:space="preserve"> (mean </w:t>
            </w:r>
            <w:r w:rsidR="00B5416E" w:rsidRPr="00E44B71">
              <w:rPr>
                <w:rFonts w:cs="Arial"/>
                <w:b/>
                <w:sz w:val="18"/>
                <w:szCs w:val="18"/>
              </w:rPr>
              <w:t xml:space="preserve">± </w:t>
            </w:r>
            <w:r w:rsidR="00B5416E" w:rsidRPr="00E44B71">
              <w:rPr>
                <w:b/>
                <w:sz w:val="18"/>
                <w:szCs w:val="18"/>
              </w:rPr>
              <w:t xml:space="preserve">SD or </w:t>
            </w:r>
            <w:r w:rsidR="00B5416E">
              <w:rPr>
                <w:b/>
                <w:sz w:val="18"/>
                <w:szCs w:val="18"/>
              </w:rPr>
              <w:t>SE</w:t>
            </w:r>
            <w:r w:rsidR="00B5416E">
              <w:rPr>
                <w:b/>
                <w:sz w:val="18"/>
                <w:szCs w:val="18"/>
                <w:vertAlign w:val="superscript"/>
              </w:rPr>
              <w:t>3</w:t>
            </w:r>
            <w:r w:rsidR="00B5416E" w:rsidRPr="00FA492E">
              <w:rPr>
                <w:b/>
                <w:sz w:val="18"/>
                <w:szCs w:val="18"/>
              </w:rPr>
              <w:t>)</w:t>
            </w:r>
            <w:r w:rsidR="00B5416E">
              <w:rPr>
                <w:b/>
                <w:sz w:val="18"/>
                <w:szCs w:val="18"/>
                <w:vertAlign w:val="superscript"/>
              </w:rPr>
              <w:t>4</w:t>
            </w:r>
          </w:p>
        </w:tc>
        <w:tc>
          <w:tcPr>
            <w:tcW w:w="1134" w:type="dxa"/>
          </w:tcPr>
          <w:p w14:paraId="21E2A523" w14:textId="77777777" w:rsidR="00B5416E" w:rsidRPr="00301F22" w:rsidRDefault="00B5416E" w:rsidP="00B5416E">
            <w:r>
              <w:rPr>
                <w:b/>
                <w:sz w:val="18"/>
                <w:szCs w:val="18"/>
              </w:rPr>
              <w:t>Mean difference</w:t>
            </w:r>
            <w:r>
              <w:rPr>
                <w:b/>
                <w:sz w:val="18"/>
                <w:szCs w:val="18"/>
                <w:vertAlign w:val="superscript"/>
              </w:rPr>
              <w:t>5</w:t>
            </w:r>
            <w:r w:rsidRPr="00C61E1B">
              <w:rPr>
                <w:b/>
                <w:sz w:val="18"/>
                <w:szCs w:val="18"/>
              </w:rPr>
              <w:t xml:space="preserve"> </w:t>
            </w:r>
            <w:r w:rsidRPr="00C61E1B">
              <w:rPr>
                <w:rFonts w:cs="Arial"/>
                <w:b/>
                <w:sz w:val="18"/>
                <w:szCs w:val="18"/>
              </w:rPr>
              <w:t xml:space="preserve">± </w:t>
            </w:r>
            <w:r>
              <w:rPr>
                <w:b/>
                <w:sz w:val="18"/>
                <w:szCs w:val="18"/>
              </w:rPr>
              <w:t>SE</w:t>
            </w:r>
            <w:r>
              <w:rPr>
                <w:b/>
                <w:sz w:val="18"/>
                <w:szCs w:val="18"/>
                <w:vertAlign w:val="superscript"/>
              </w:rPr>
              <w:t>6</w:t>
            </w:r>
          </w:p>
        </w:tc>
        <w:tc>
          <w:tcPr>
            <w:tcW w:w="567" w:type="dxa"/>
          </w:tcPr>
          <w:p w14:paraId="0EE5F0D5" w14:textId="77777777" w:rsidR="00B5416E" w:rsidRPr="00AB00B0" w:rsidRDefault="00B5416E" w:rsidP="00B5416E">
            <w:pPr>
              <w:rPr>
                <w:b/>
                <w:sz w:val="18"/>
                <w:szCs w:val="18"/>
                <w:vertAlign w:val="superscript"/>
              </w:rPr>
            </w:pPr>
            <w:r w:rsidRPr="00AB00B0">
              <w:rPr>
                <w:b/>
                <w:i/>
                <w:sz w:val="18"/>
                <w:szCs w:val="18"/>
              </w:rPr>
              <w:t>P</w:t>
            </w:r>
            <w:r>
              <w:rPr>
                <w:b/>
                <w:sz w:val="18"/>
                <w:szCs w:val="18"/>
                <w:vertAlign w:val="superscript"/>
              </w:rPr>
              <w:t>7</w:t>
            </w:r>
          </w:p>
        </w:tc>
        <w:tc>
          <w:tcPr>
            <w:tcW w:w="992" w:type="dxa"/>
          </w:tcPr>
          <w:p w14:paraId="2654C8F0" w14:textId="207F08CE" w:rsidR="00B5416E" w:rsidRPr="00B5416E" w:rsidRDefault="00B5416E" w:rsidP="00B5416E">
            <w:pPr>
              <w:rPr>
                <w:b/>
                <w:i/>
                <w:sz w:val="18"/>
                <w:szCs w:val="18"/>
              </w:rPr>
            </w:pPr>
            <w:r w:rsidRPr="00B5416E">
              <w:rPr>
                <w:b/>
                <w:sz w:val="18"/>
                <w:szCs w:val="18"/>
              </w:rPr>
              <w:t xml:space="preserve">Baseline (mean </w:t>
            </w:r>
            <w:r w:rsidRPr="00B5416E">
              <w:rPr>
                <w:rFonts w:cs="Arial"/>
                <w:b/>
                <w:sz w:val="18"/>
                <w:szCs w:val="18"/>
              </w:rPr>
              <w:t xml:space="preserve">± SD or </w:t>
            </w:r>
            <w:r w:rsidRPr="00B5416E">
              <w:rPr>
                <w:b/>
                <w:sz w:val="18"/>
                <w:szCs w:val="18"/>
              </w:rPr>
              <w:t>SE</w:t>
            </w:r>
            <w:r w:rsidRPr="00B5416E">
              <w:rPr>
                <w:b/>
                <w:sz w:val="18"/>
                <w:szCs w:val="18"/>
                <w:vertAlign w:val="superscript"/>
              </w:rPr>
              <w:t>3</w:t>
            </w:r>
            <w:r w:rsidRPr="00B5416E">
              <w:rPr>
                <w:b/>
                <w:sz w:val="18"/>
                <w:szCs w:val="18"/>
              </w:rPr>
              <w:t>)</w:t>
            </w:r>
          </w:p>
        </w:tc>
        <w:tc>
          <w:tcPr>
            <w:tcW w:w="851" w:type="dxa"/>
          </w:tcPr>
          <w:p w14:paraId="1DAD6373" w14:textId="7AB6B38A" w:rsidR="00B5416E" w:rsidRPr="00B5416E" w:rsidRDefault="007F0E9F" w:rsidP="00B5416E">
            <w:pPr>
              <w:rPr>
                <w:b/>
                <w:i/>
                <w:sz w:val="18"/>
                <w:szCs w:val="18"/>
              </w:rPr>
            </w:pPr>
            <w:r>
              <w:rPr>
                <w:b/>
                <w:sz w:val="18"/>
                <w:szCs w:val="18"/>
              </w:rPr>
              <w:t>Follow-up</w:t>
            </w:r>
            <w:r w:rsidR="00B5416E" w:rsidRPr="00B5416E">
              <w:rPr>
                <w:b/>
                <w:sz w:val="18"/>
                <w:szCs w:val="18"/>
              </w:rPr>
              <w:t xml:space="preserve"> (mean </w:t>
            </w:r>
            <w:r w:rsidR="00B5416E" w:rsidRPr="00B5416E">
              <w:rPr>
                <w:rFonts w:cs="Arial"/>
                <w:b/>
                <w:sz w:val="18"/>
                <w:szCs w:val="18"/>
              </w:rPr>
              <w:t xml:space="preserve">± </w:t>
            </w:r>
            <w:r w:rsidR="00B5416E" w:rsidRPr="00B5416E">
              <w:rPr>
                <w:b/>
                <w:sz w:val="18"/>
                <w:szCs w:val="18"/>
              </w:rPr>
              <w:t>SD or SE</w:t>
            </w:r>
            <w:r w:rsidR="00B5416E" w:rsidRPr="00B5416E">
              <w:rPr>
                <w:b/>
                <w:sz w:val="18"/>
                <w:szCs w:val="18"/>
                <w:vertAlign w:val="superscript"/>
              </w:rPr>
              <w:t>3</w:t>
            </w:r>
            <w:r w:rsidR="00B5416E" w:rsidRPr="00B5416E">
              <w:rPr>
                <w:b/>
                <w:sz w:val="18"/>
                <w:szCs w:val="18"/>
              </w:rPr>
              <w:t>)</w:t>
            </w:r>
            <w:r w:rsidR="00B5416E" w:rsidRPr="00B5416E">
              <w:rPr>
                <w:b/>
                <w:sz w:val="18"/>
                <w:szCs w:val="18"/>
                <w:vertAlign w:val="superscript"/>
              </w:rPr>
              <w:t>4</w:t>
            </w:r>
          </w:p>
        </w:tc>
        <w:tc>
          <w:tcPr>
            <w:tcW w:w="992" w:type="dxa"/>
          </w:tcPr>
          <w:p w14:paraId="1FCCF877" w14:textId="6E180FC5" w:rsidR="00B5416E" w:rsidRPr="00B5416E" w:rsidRDefault="00B5416E" w:rsidP="00B5416E">
            <w:r w:rsidRPr="00B5416E">
              <w:rPr>
                <w:b/>
                <w:sz w:val="18"/>
                <w:szCs w:val="18"/>
              </w:rPr>
              <w:t>Mean difference</w:t>
            </w:r>
            <w:r w:rsidRPr="00B5416E">
              <w:rPr>
                <w:b/>
                <w:sz w:val="18"/>
                <w:szCs w:val="18"/>
                <w:vertAlign w:val="superscript"/>
              </w:rPr>
              <w:t>5</w:t>
            </w:r>
            <w:r w:rsidRPr="00B5416E">
              <w:rPr>
                <w:b/>
                <w:sz w:val="18"/>
                <w:szCs w:val="18"/>
              </w:rPr>
              <w:t xml:space="preserve"> </w:t>
            </w:r>
            <w:r w:rsidRPr="00B5416E">
              <w:rPr>
                <w:rFonts w:cs="Arial"/>
                <w:b/>
                <w:sz w:val="18"/>
                <w:szCs w:val="18"/>
              </w:rPr>
              <w:t xml:space="preserve">± </w:t>
            </w:r>
            <w:r w:rsidRPr="00B5416E">
              <w:rPr>
                <w:b/>
                <w:sz w:val="18"/>
                <w:szCs w:val="18"/>
              </w:rPr>
              <w:t>SE</w:t>
            </w:r>
            <w:r w:rsidRPr="00B5416E">
              <w:rPr>
                <w:b/>
                <w:sz w:val="18"/>
                <w:szCs w:val="18"/>
                <w:vertAlign w:val="superscript"/>
              </w:rPr>
              <w:t>6</w:t>
            </w:r>
          </w:p>
        </w:tc>
        <w:tc>
          <w:tcPr>
            <w:tcW w:w="567" w:type="dxa"/>
          </w:tcPr>
          <w:p w14:paraId="15649DDD" w14:textId="2A9FB9F0" w:rsidR="00B5416E" w:rsidRPr="00B5416E" w:rsidRDefault="00B5416E" w:rsidP="00B5416E">
            <w:pPr>
              <w:rPr>
                <w:b/>
                <w:i/>
                <w:sz w:val="18"/>
                <w:szCs w:val="18"/>
              </w:rPr>
            </w:pPr>
            <w:r w:rsidRPr="00B5416E">
              <w:rPr>
                <w:b/>
                <w:i/>
                <w:sz w:val="18"/>
                <w:szCs w:val="18"/>
              </w:rPr>
              <w:t>P</w:t>
            </w:r>
            <w:r w:rsidRPr="00B5416E">
              <w:rPr>
                <w:b/>
                <w:sz w:val="18"/>
                <w:szCs w:val="18"/>
                <w:vertAlign w:val="superscript"/>
              </w:rPr>
              <w:t>7</w:t>
            </w:r>
          </w:p>
        </w:tc>
        <w:tc>
          <w:tcPr>
            <w:tcW w:w="850" w:type="dxa"/>
          </w:tcPr>
          <w:p w14:paraId="5008D657" w14:textId="38E26066" w:rsidR="00B5416E" w:rsidRPr="00B5416E" w:rsidRDefault="00B5416E" w:rsidP="00B5416E">
            <w:pPr>
              <w:rPr>
                <w:b/>
                <w:i/>
                <w:sz w:val="18"/>
                <w:szCs w:val="18"/>
              </w:rPr>
            </w:pPr>
            <w:r w:rsidRPr="00B5416E">
              <w:rPr>
                <w:b/>
                <w:sz w:val="18"/>
                <w:szCs w:val="18"/>
              </w:rPr>
              <w:t xml:space="preserve">Baseline (mean </w:t>
            </w:r>
            <w:r w:rsidRPr="00B5416E">
              <w:rPr>
                <w:rFonts w:cs="Arial"/>
                <w:b/>
                <w:sz w:val="18"/>
                <w:szCs w:val="18"/>
              </w:rPr>
              <w:t xml:space="preserve">± SD or </w:t>
            </w:r>
            <w:r w:rsidRPr="00B5416E">
              <w:rPr>
                <w:b/>
                <w:sz w:val="18"/>
                <w:szCs w:val="18"/>
              </w:rPr>
              <w:t>SE</w:t>
            </w:r>
            <w:r w:rsidRPr="00B5416E">
              <w:rPr>
                <w:b/>
                <w:sz w:val="18"/>
                <w:szCs w:val="18"/>
                <w:vertAlign w:val="superscript"/>
              </w:rPr>
              <w:t>3</w:t>
            </w:r>
            <w:r w:rsidRPr="00B5416E">
              <w:rPr>
                <w:b/>
                <w:sz w:val="18"/>
                <w:szCs w:val="18"/>
              </w:rPr>
              <w:t>)</w:t>
            </w:r>
          </w:p>
        </w:tc>
        <w:tc>
          <w:tcPr>
            <w:tcW w:w="851" w:type="dxa"/>
          </w:tcPr>
          <w:p w14:paraId="7E13A423" w14:textId="17D396F8" w:rsidR="00B5416E" w:rsidRPr="00B5416E" w:rsidRDefault="007F0E9F" w:rsidP="00B5416E">
            <w:pPr>
              <w:rPr>
                <w:b/>
                <w:i/>
                <w:sz w:val="18"/>
                <w:szCs w:val="18"/>
              </w:rPr>
            </w:pPr>
            <w:r>
              <w:rPr>
                <w:b/>
                <w:sz w:val="18"/>
                <w:szCs w:val="18"/>
              </w:rPr>
              <w:t xml:space="preserve">Follow-up </w:t>
            </w:r>
            <w:r w:rsidR="00B5416E" w:rsidRPr="00B5416E">
              <w:rPr>
                <w:b/>
                <w:sz w:val="18"/>
                <w:szCs w:val="18"/>
              </w:rPr>
              <w:t xml:space="preserve">(mean </w:t>
            </w:r>
            <w:r w:rsidR="00B5416E" w:rsidRPr="00B5416E">
              <w:rPr>
                <w:rFonts w:cs="Arial"/>
                <w:b/>
                <w:sz w:val="18"/>
                <w:szCs w:val="18"/>
              </w:rPr>
              <w:t xml:space="preserve">± </w:t>
            </w:r>
            <w:r w:rsidR="00B5416E" w:rsidRPr="00B5416E">
              <w:rPr>
                <w:b/>
                <w:sz w:val="18"/>
                <w:szCs w:val="18"/>
              </w:rPr>
              <w:t>SD or SE</w:t>
            </w:r>
            <w:r w:rsidR="00B5416E" w:rsidRPr="00B5416E">
              <w:rPr>
                <w:b/>
                <w:sz w:val="18"/>
                <w:szCs w:val="18"/>
                <w:vertAlign w:val="superscript"/>
              </w:rPr>
              <w:t>3</w:t>
            </w:r>
            <w:r w:rsidR="00B5416E" w:rsidRPr="00B5416E">
              <w:rPr>
                <w:b/>
                <w:sz w:val="18"/>
                <w:szCs w:val="18"/>
              </w:rPr>
              <w:t>)</w:t>
            </w:r>
            <w:r w:rsidR="00B5416E" w:rsidRPr="00B5416E">
              <w:rPr>
                <w:b/>
                <w:sz w:val="18"/>
                <w:szCs w:val="18"/>
                <w:vertAlign w:val="superscript"/>
              </w:rPr>
              <w:t>4</w:t>
            </w:r>
          </w:p>
        </w:tc>
        <w:tc>
          <w:tcPr>
            <w:tcW w:w="992" w:type="dxa"/>
          </w:tcPr>
          <w:p w14:paraId="528CDF6E" w14:textId="0A1133E3" w:rsidR="00B5416E" w:rsidRPr="00B5416E" w:rsidRDefault="00B5416E" w:rsidP="00B5416E">
            <w:r w:rsidRPr="00B5416E">
              <w:rPr>
                <w:b/>
                <w:sz w:val="18"/>
                <w:szCs w:val="18"/>
              </w:rPr>
              <w:t>Mean difference</w:t>
            </w:r>
            <w:r w:rsidRPr="00B5416E">
              <w:rPr>
                <w:b/>
                <w:sz w:val="18"/>
                <w:szCs w:val="18"/>
                <w:vertAlign w:val="superscript"/>
              </w:rPr>
              <w:t>5</w:t>
            </w:r>
            <w:r w:rsidRPr="00B5416E">
              <w:rPr>
                <w:b/>
                <w:sz w:val="18"/>
                <w:szCs w:val="18"/>
              </w:rPr>
              <w:t xml:space="preserve"> </w:t>
            </w:r>
            <w:r w:rsidRPr="00B5416E">
              <w:rPr>
                <w:rFonts w:cs="Arial"/>
                <w:b/>
                <w:sz w:val="18"/>
                <w:szCs w:val="18"/>
              </w:rPr>
              <w:t xml:space="preserve">± </w:t>
            </w:r>
            <w:r w:rsidRPr="00B5416E">
              <w:rPr>
                <w:b/>
                <w:sz w:val="18"/>
                <w:szCs w:val="18"/>
              </w:rPr>
              <w:t>SE</w:t>
            </w:r>
            <w:r w:rsidRPr="00B5416E">
              <w:rPr>
                <w:b/>
                <w:sz w:val="18"/>
                <w:szCs w:val="18"/>
                <w:vertAlign w:val="superscript"/>
              </w:rPr>
              <w:t>6</w:t>
            </w:r>
          </w:p>
        </w:tc>
        <w:tc>
          <w:tcPr>
            <w:tcW w:w="567" w:type="dxa"/>
          </w:tcPr>
          <w:p w14:paraId="01645D99" w14:textId="51004323" w:rsidR="00B5416E" w:rsidRPr="00B5416E" w:rsidRDefault="00B5416E" w:rsidP="00B5416E">
            <w:pPr>
              <w:rPr>
                <w:b/>
                <w:i/>
                <w:sz w:val="18"/>
                <w:szCs w:val="18"/>
              </w:rPr>
            </w:pPr>
            <w:r w:rsidRPr="00B5416E">
              <w:rPr>
                <w:b/>
                <w:i/>
                <w:sz w:val="18"/>
                <w:szCs w:val="18"/>
              </w:rPr>
              <w:t>P</w:t>
            </w:r>
            <w:r w:rsidRPr="00B5416E">
              <w:rPr>
                <w:b/>
                <w:sz w:val="18"/>
                <w:szCs w:val="18"/>
                <w:vertAlign w:val="superscript"/>
              </w:rPr>
              <w:t>7</w:t>
            </w:r>
          </w:p>
        </w:tc>
        <w:tc>
          <w:tcPr>
            <w:tcW w:w="992" w:type="dxa"/>
          </w:tcPr>
          <w:p w14:paraId="026779DF" w14:textId="77777777" w:rsidR="00B5416E" w:rsidRPr="00AB00B0" w:rsidRDefault="00B5416E" w:rsidP="00B5416E">
            <w:pPr>
              <w:rPr>
                <w:b/>
                <w:i/>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SD</w:t>
            </w:r>
            <w:r>
              <w:rPr>
                <w:b/>
                <w:sz w:val="18"/>
                <w:szCs w:val="18"/>
                <w:vertAlign w:val="superscript"/>
              </w:rPr>
              <w:t>3</w:t>
            </w:r>
            <w:r w:rsidRPr="00E44B71">
              <w:rPr>
                <w:b/>
                <w:sz w:val="18"/>
                <w:szCs w:val="18"/>
              </w:rPr>
              <w:t>)</w:t>
            </w:r>
          </w:p>
        </w:tc>
        <w:tc>
          <w:tcPr>
            <w:tcW w:w="1134" w:type="dxa"/>
          </w:tcPr>
          <w:p w14:paraId="56BB17D5" w14:textId="6D1609A9" w:rsidR="00B5416E" w:rsidRDefault="007F0E9F" w:rsidP="00B5416E">
            <w:pPr>
              <w:rPr>
                <w:b/>
                <w:i/>
                <w:sz w:val="18"/>
                <w:szCs w:val="18"/>
              </w:rPr>
            </w:pPr>
            <w:r>
              <w:rPr>
                <w:b/>
                <w:sz w:val="18"/>
                <w:szCs w:val="18"/>
              </w:rPr>
              <w:t>Follow-up</w:t>
            </w:r>
            <w:r w:rsidR="00B5416E" w:rsidRPr="00C61E1B">
              <w:rPr>
                <w:b/>
                <w:sz w:val="18"/>
                <w:szCs w:val="18"/>
              </w:rPr>
              <w:t xml:space="preserve"> (mean </w:t>
            </w:r>
            <w:r w:rsidR="00B5416E" w:rsidRPr="00C61E1B">
              <w:rPr>
                <w:rFonts w:cs="Arial"/>
                <w:b/>
                <w:sz w:val="18"/>
                <w:szCs w:val="18"/>
              </w:rPr>
              <w:t xml:space="preserve">± </w:t>
            </w:r>
            <w:r w:rsidR="00B5416E">
              <w:rPr>
                <w:b/>
                <w:sz w:val="18"/>
                <w:szCs w:val="18"/>
              </w:rPr>
              <w:t>SD</w:t>
            </w:r>
            <w:r w:rsidR="00B5416E">
              <w:rPr>
                <w:b/>
                <w:sz w:val="18"/>
                <w:szCs w:val="18"/>
                <w:vertAlign w:val="superscript"/>
              </w:rPr>
              <w:t>3</w:t>
            </w:r>
            <w:r w:rsidR="00B5416E" w:rsidRPr="00C61E1B">
              <w:rPr>
                <w:b/>
                <w:sz w:val="18"/>
                <w:szCs w:val="18"/>
              </w:rPr>
              <w:t>)</w:t>
            </w:r>
            <w:r w:rsidR="00B5416E">
              <w:rPr>
                <w:b/>
                <w:sz w:val="18"/>
                <w:szCs w:val="18"/>
                <w:vertAlign w:val="superscript"/>
              </w:rPr>
              <w:t>4</w:t>
            </w:r>
          </w:p>
        </w:tc>
        <w:tc>
          <w:tcPr>
            <w:tcW w:w="851" w:type="dxa"/>
          </w:tcPr>
          <w:p w14:paraId="628E3814" w14:textId="77777777" w:rsidR="00B5416E" w:rsidRPr="00D45649" w:rsidRDefault="00B5416E" w:rsidP="00B5416E">
            <w:r>
              <w:rPr>
                <w:b/>
                <w:sz w:val="18"/>
                <w:szCs w:val="18"/>
              </w:rPr>
              <w:t>Mean  difference</w:t>
            </w:r>
            <w:r>
              <w:rPr>
                <w:b/>
                <w:sz w:val="18"/>
                <w:szCs w:val="18"/>
                <w:vertAlign w:val="superscript"/>
              </w:rPr>
              <w:t>5</w:t>
            </w:r>
            <w:r w:rsidRPr="00C61E1B">
              <w:rPr>
                <w:b/>
                <w:sz w:val="18"/>
                <w:szCs w:val="18"/>
              </w:rPr>
              <w:t xml:space="preserve"> </w:t>
            </w:r>
            <w:r w:rsidRPr="00C61E1B">
              <w:rPr>
                <w:rFonts w:cs="Arial"/>
                <w:b/>
                <w:sz w:val="18"/>
                <w:szCs w:val="18"/>
              </w:rPr>
              <w:t xml:space="preserve">± </w:t>
            </w:r>
            <w:r>
              <w:rPr>
                <w:b/>
                <w:sz w:val="18"/>
                <w:szCs w:val="18"/>
              </w:rPr>
              <w:t>SE</w:t>
            </w:r>
            <w:r>
              <w:rPr>
                <w:b/>
                <w:sz w:val="18"/>
                <w:szCs w:val="18"/>
                <w:vertAlign w:val="superscript"/>
              </w:rPr>
              <w:t>6</w:t>
            </w:r>
          </w:p>
        </w:tc>
        <w:tc>
          <w:tcPr>
            <w:tcW w:w="567" w:type="dxa"/>
          </w:tcPr>
          <w:p w14:paraId="050A45DD" w14:textId="77777777" w:rsidR="00B5416E" w:rsidRDefault="00B5416E" w:rsidP="00B5416E">
            <w:pPr>
              <w:rPr>
                <w:b/>
                <w:i/>
                <w:sz w:val="18"/>
                <w:szCs w:val="18"/>
              </w:rPr>
            </w:pPr>
            <w:r w:rsidRPr="00AB00B0">
              <w:rPr>
                <w:b/>
                <w:i/>
                <w:sz w:val="18"/>
                <w:szCs w:val="18"/>
              </w:rPr>
              <w:t>P</w:t>
            </w:r>
            <w:r>
              <w:rPr>
                <w:b/>
                <w:sz w:val="18"/>
                <w:szCs w:val="18"/>
                <w:vertAlign w:val="superscript"/>
              </w:rPr>
              <w:t>7</w:t>
            </w:r>
          </w:p>
        </w:tc>
      </w:tr>
      <w:tr w:rsidR="00B5416E" w:rsidRPr="00AB00B0" w14:paraId="7BB13FFD" w14:textId="77777777" w:rsidTr="00AE37C2">
        <w:tc>
          <w:tcPr>
            <w:tcW w:w="1118" w:type="dxa"/>
            <w:vMerge w:val="restart"/>
          </w:tcPr>
          <w:p w14:paraId="4D6B9DC9" w14:textId="77777777" w:rsidR="00B5416E" w:rsidRPr="0040116E" w:rsidRDefault="00B5416E" w:rsidP="00B5416E">
            <w:pPr>
              <w:rPr>
                <w:sz w:val="18"/>
                <w:szCs w:val="18"/>
              </w:rPr>
            </w:pPr>
            <w:r w:rsidRPr="0040116E">
              <w:rPr>
                <w:sz w:val="18"/>
                <w:szCs w:val="18"/>
              </w:rPr>
              <w:t>van Dokkum (1999)</w:t>
            </w:r>
          </w:p>
        </w:tc>
        <w:tc>
          <w:tcPr>
            <w:tcW w:w="843" w:type="dxa"/>
          </w:tcPr>
          <w:p w14:paraId="34911172" w14:textId="77777777" w:rsidR="00B5416E" w:rsidRPr="0040116E" w:rsidRDefault="00B5416E" w:rsidP="00B5416E">
            <w:pPr>
              <w:rPr>
                <w:sz w:val="18"/>
                <w:szCs w:val="18"/>
              </w:rPr>
            </w:pPr>
            <w:r w:rsidRPr="0040116E">
              <w:rPr>
                <w:sz w:val="18"/>
                <w:szCs w:val="18"/>
              </w:rPr>
              <w:t>0.0</w:t>
            </w:r>
          </w:p>
        </w:tc>
        <w:tc>
          <w:tcPr>
            <w:tcW w:w="869" w:type="dxa"/>
          </w:tcPr>
          <w:p w14:paraId="3C570BB2" w14:textId="77777777" w:rsidR="00B5416E" w:rsidRPr="0040116E" w:rsidRDefault="00B5416E" w:rsidP="00B5416E">
            <w:pPr>
              <w:rPr>
                <w:sz w:val="18"/>
                <w:szCs w:val="18"/>
              </w:rPr>
            </w:pPr>
            <w:r>
              <w:rPr>
                <w:sz w:val="18"/>
                <w:szCs w:val="18"/>
              </w:rPr>
              <w:t>n/a</w:t>
            </w:r>
          </w:p>
        </w:tc>
        <w:tc>
          <w:tcPr>
            <w:tcW w:w="851" w:type="dxa"/>
          </w:tcPr>
          <w:p w14:paraId="726877DD" w14:textId="77777777" w:rsidR="00B5416E" w:rsidRPr="0040116E" w:rsidRDefault="00B5416E" w:rsidP="00B5416E">
            <w:pPr>
              <w:rPr>
                <w:sz w:val="18"/>
                <w:szCs w:val="18"/>
              </w:rPr>
            </w:pPr>
            <w:r>
              <w:rPr>
                <w:sz w:val="18"/>
                <w:szCs w:val="18"/>
              </w:rPr>
              <w:t xml:space="preserve">4.8 </w:t>
            </w:r>
            <w:r>
              <w:rPr>
                <w:rFonts w:cs="Arial"/>
                <w:sz w:val="18"/>
                <w:szCs w:val="18"/>
                <w:lang w:bidi="ar-SA"/>
              </w:rPr>
              <w:t>± 0.2</w:t>
            </w:r>
            <w:r>
              <w:rPr>
                <w:rFonts w:cs="Arial"/>
                <w:sz w:val="18"/>
                <w:szCs w:val="18"/>
                <w:vertAlign w:val="superscript"/>
                <w:lang w:bidi="ar-SA"/>
              </w:rPr>
              <w:t>12</w:t>
            </w:r>
          </w:p>
        </w:tc>
        <w:tc>
          <w:tcPr>
            <w:tcW w:w="1134" w:type="dxa"/>
          </w:tcPr>
          <w:p w14:paraId="2CCB4F13" w14:textId="77777777" w:rsidR="00B5416E" w:rsidRPr="004444CF" w:rsidRDefault="00B5416E" w:rsidP="00B5416E">
            <w:pPr>
              <w:rPr>
                <w:sz w:val="18"/>
                <w:szCs w:val="18"/>
              </w:rPr>
            </w:pPr>
            <w:r w:rsidRPr="004444CF">
              <w:rPr>
                <w:sz w:val="18"/>
                <w:szCs w:val="18"/>
              </w:rPr>
              <w:t>n/a</w:t>
            </w:r>
          </w:p>
        </w:tc>
        <w:tc>
          <w:tcPr>
            <w:tcW w:w="567" w:type="dxa"/>
          </w:tcPr>
          <w:p w14:paraId="0EA55410" w14:textId="77777777" w:rsidR="00B5416E" w:rsidRPr="0040116E" w:rsidRDefault="00B5416E" w:rsidP="00B5416E">
            <w:pPr>
              <w:rPr>
                <w:sz w:val="18"/>
                <w:szCs w:val="18"/>
              </w:rPr>
            </w:pPr>
            <w:r w:rsidRPr="0040116E">
              <w:rPr>
                <w:sz w:val="18"/>
                <w:szCs w:val="18"/>
              </w:rPr>
              <w:t>n/a</w:t>
            </w:r>
          </w:p>
        </w:tc>
        <w:tc>
          <w:tcPr>
            <w:tcW w:w="992" w:type="dxa"/>
          </w:tcPr>
          <w:p w14:paraId="77969A37" w14:textId="2309C085" w:rsidR="00B5416E" w:rsidRPr="00B5416E" w:rsidRDefault="00B5416E" w:rsidP="00B5416E">
            <w:pPr>
              <w:rPr>
                <w:sz w:val="18"/>
                <w:szCs w:val="18"/>
              </w:rPr>
            </w:pPr>
            <w:r w:rsidRPr="00B5416E">
              <w:rPr>
                <w:sz w:val="18"/>
                <w:szCs w:val="18"/>
              </w:rPr>
              <w:t>n/a</w:t>
            </w:r>
          </w:p>
        </w:tc>
        <w:tc>
          <w:tcPr>
            <w:tcW w:w="851" w:type="dxa"/>
          </w:tcPr>
          <w:p w14:paraId="67A716DB" w14:textId="483BA1E7" w:rsidR="00B5416E" w:rsidRPr="00B5416E" w:rsidRDefault="00B5416E" w:rsidP="00B5416E">
            <w:pPr>
              <w:rPr>
                <w:sz w:val="18"/>
                <w:szCs w:val="18"/>
              </w:rPr>
            </w:pPr>
            <w:r w:rsidRPr="00B5416E">
              <w:rPr>
                <w:sz w:val="18"/>
                <w:szCs w:val="18"/>
              </w:rPr>
              <w:t>n/a</w:t>
            </w:r>
          </w:p>
        </w:tc>
        <w:tc>
          <w:tcPr>
            <w:tcW w:w="992" w:type="dxa"/>
          </w:tcPr>
          <w:p w14:paraId="1024B889" w14:textId="6302A52C" w:rsidR="00B5416E" w:rsidRPr="00B5416E" w:rsidRDefault="00B5416E" w:rsidP="00B5416E">
            <w:pPr>
              <w:rPr>
                <w:sz w:val="18"/>
                <w:szCs w:val="18"/>
              </w:rPr>
            </w:pPr>
            <w:r w:rsidRPr="00B5416E">
              <w:rPr>
                <w:sz w:val="18"/>
                <w:szCs w:val="18"/>
              </w:rPr>
              <w:t>n/a</w:t>
            </w:r>
          </w:p>
        </w:tc>
        <w:tc>
          <w:tcPr>
            <w:tcW w:w="567" w:type="dxa"/>
          </w:tcPr>
          <w:p w14:paraId="6BC8259A" w14:textId="22E0C80E" w:rsidR="00B5416E" w:rsidRPr="00B5416E" w:rsidRDefault="00B5416E" w:rsidP="00B5416E">
            <w:pPr>
              <w:rPr>
                <w:sz w:val="18"/>
                <w:szCs w:val="18"/>
              </w:rPr>
            </w:pPr>
            <w:r w:rsidRPr="00B5416E">
              <w:rPr>
                <w:sz w:val="18"/>
                <w:szCs w:val="18"/>
              </w:rPr>
              <w:t>n/a</w:t>
            </w:r>
          </w:p>
        </w:tc>
        <w:tc>
          <w:tcPr>
            <w:tcW w:w="850" w:type="dxa"/>
          </w:tcPr>
          <w:p w14:paraId="785769DF" w14:textId="121C6DFC" w:rsidR="00B5416E" w:rsidRPr="00B5416E" w:rsidRDefault="00B5416E" w:rsidP="00B5416E">
            <w:pPr>
              <w:rPr>
                <w:sz w:val="18"/>
                <w:szCs w:val="18"/>
              </w:rPr>
            </w:pPr>
            <w:r w:rsidRPr="00B5416E">
              <w:rPr>
                <w:sz w:val="18"/>
                <w:szCs w:val="18"/>
              </w:rPr>
              <w:t>n/a</w:t>
            </w:r>
          </w:p>
        </w:tc>
        <w:tc>
          <w:tcPr>
            <w:tcW w:w="851" w:type="dxa"/>
          </w:tcPr>
          <w:p w14:paraId="4C8583A0" w14:textId="67B40EF9" w:rsidR="00B5416E" w:rsidRPr="00B5416E" w:rsidRDefault="00B5416E" w:rsidP="00B5416E">
            <w:pPr>
              <w:rPr>
                <w:sz w:val="18"/>
                <w:szCs w:val="18"/>
              </w:rPr>
            </w:pPr>
            <w:r w:rsidRPr="00B5416E">
              <w:rPr>
                <w:sz w:val="18"/>
                <w:szCs w:val="18"/>
              </w:rPr>
              <w:t xml:space="preserve">10.6 </w:t>
            </w:r>
            <w:r w:rsidRPr="00B5416E">
              <w:rPr>
                <w:rFonts w:cs="Arial"/>
                <w:sz w:val="18"/>
                <w:szCs w:val="18"/>
                <w:lang w:bidi="ar-SA"/>
              </w:rPr>
              <w:t>± 4.3</w:t>
            </w:r>
            <w:r w:rsidRPr="00B5416E">
              <w:rPr>
                <w:rFonts w:cs="Arial"/>
                <w:sz w:val="18"/>
                <w:szCs w:val="18"/>
                <w:vertAlign w:val="superscript"/>
                <w:lang w:bidi="ar-SA"/>
              </w:rPr>
              <w:t>12</w:t>
            </w:r>
          </w:p>
        </w:tc>
        <w:tc>
          <w:tcPr>
            <w:tcW w:w="992" w:type="dxa"/>
          </w:tcPr>
          <w:p w14:paraId="39177574" w14:textId="01AF49AB" w:rsidR="00B5416E" w:rsidRPr="00B5416E" w:rsidRDefault="00B5416E" w:rsidP="00B5416E">
            <w:pPr>
              <w:rPr>
                <w:sz w:val="18"/>
                <w:szCs w:val="18"/>
              </w:rPr>
            </w:pPr>
            <w:r w:rsidRPr="00B5416E">
              <w:rPr>
                <w:sz w:val="18"/>
                <w:szCs w:val="18"/>
              </w:rPr>
              <w:t>n/a</w:t>
            </w:r>
          </w:p>
        </w:tc>
        <w:tc>
          <w:tcPr>
            <w:tcW w:w="567" w:type="dxa"/>
          </w:tcPr>
          <w:p w14:paraId="5401C54C" w14:textId="3CA9C51E" w:rsidR="00B5416E" w:rsidRPr="00B5416E" w:rsidRDefault="00B5416E" w:rsidP="00B5416E">
            <w:pPr>
              <w:rPr>
                <w:sz w:val="18"/>
                <w:szCs w:val="18"/>
              </w:rPr>
            </w:pPr>
            <w:r w:rsidRPr="00B5416E">
              <w:rPr>
                <w:sz w:val="18"/>
                <w:szCs w:val="18"/>
              </w:rPr>
              <w:t>n/a</w:t>
            </w:r>
          </w:p>
        </w:tc>
        <w:tc>
          <w:tcPr>
            <w:tcW w:w="992" w:type="dxa"/>
          </w:tcPr>
          <w:p w14:paraId="62FACC80" w14:textId="77777777" w:rsidR="00B5416E" w:rsidRDefault="00B5416E" w:rsidP="00B5416E">
            <w:pPr>
              <w:rPr>
                <w:sz w:val="18"/>
                <w:szCs w:val="18"/>
              </w:rPr>
            </w:pPr>
            <w:r>
              <w:rPr>
                <w:sz w:val="18"/>
                <w:szCs w:val="18"/>
              </w:rPr>
              <w:t>n/a</w:t>
            </w:r>
          </w:p>
        </w:tc>
        <w:tc>
          <w:tcPr>
            <w:tcW w:w="1134" w:type="dxa"/>
          </w:tcPr>
          <w:p w14:paraId="4A8426D0" w14:textId="77777777" w:rsidR="00B5416E" w:rsidRDefault="00B5416E" w:rsidP="00B5416E">
            <w:pPr>
              <w:rPr>
                <w:sz w:val="18"/>
                <w:szCs w:val="18"/>
              </w:rPr>
            </w:pPr>
            <w:r>
              <w:rPr>
                <w:sz w:val="18"/>
                <w:szCs w:val="18"/>
              </w:rPr>
              <w:t>n/a</w:t>
            </w:r>
          </w:p>
        </w:tc>
        <w:tc>
          <w:tcPr>
            <w:tcW w:w="851" w:type="dxa"/>
          </w:tcPr>
          <w:p w14:paraId="4AD1CB02" w14:textId="77777777" w:rsidR="00B5416E" w:rsidRDefault="00B5416E" w:rsidP="00B5416E">
            <w:pPr>
              <w:rPr>
                <w:sz w:val="18"/>
                <w:szCs w:val="18"/>
              </w:rPr>
            </w:pPr>
            <w:r>
              <w:rPr>
                <w:sz w:val="18"/>
                <w:szCs w:val="18"/>
              </w:rPr>
              <w:t>n/a</w:t>
            </w:r>
          </w:p>
        </w:tc>
        <w:tc>
          <w:tcPr>
            <w:tcW w:w="567" w:type="dxa"/>
          </w:tcPr>
          <w:p w14:paraId="6D65F692" w14:textId="77777777" w:rsidR="00B5416E" w:rsidRDefault="00B5416E" w:rsidP="00B5416E">
            <w:pPr>
              <w:rPr>
                <w:sz w:val="18"/>
                <w:szCs w:val="18"/>
              </w:rPr>
            </w:pPr>
            <w:r>
              <w:rPr>
                <w:sz w:val="18"/>
                <w:szCs w:val="18"/>
              </w:rPr>
              <w:t>n/a</w:t>
            </w:r>
          </w:p>
        </w:tc>
      </w:tr>
      <w:tr w:rsidR="00B5416E" w:rsidRPr="00AB00B0" w14:paraId="06BABC36" w14:textId="77777777" w:rsidTr="00AE37C2">
        <w:tc>
          <w:tcPr>
            <w:tcW w:w="1118" w:type="dxa"/>
            <w:vMerge/>
          </w:tcPr>
          <w:p w14:paraId="59F0BDFA" w14:textId="77777777" w:rsidR="00B5416E" w:rsidRPr="0040116E" w:rsidRDefault="00B5416E" w:rsidP="00B5416E">
            <w:pPr>
              <w:rPr>
                <w:sz w:val="18"/>
                <w:szCs w:val="18"/>
              </w:rPr>
            </w:pPr>
          </w:p>
        </w:tc>
        <w:tc>
          <w:tcPr>
            <w:tcW w:w="843" w:type="dxa"/>
          </w:tcPr>
          <w:p w14:paraId="03B4FD69" w14:textId="77777777" w:rsidR="00B5416E" w:rsidRPr="0040116E" w:rsidRDefault="00B5416E" w:rsidP="00B5416E">
            <w:pPr>
              <w:rPr>
                <w:sz w:val="18"/>
                <w:szCs w:val="18"/>
              </w:rPr>
            </w:pPr>
            <w:r w:rsidRPr="0040116E">
              <w:rPr>
                <w:sz w:val="18"/>
                <w:szCs w:val="18"/>
              </w:rPr>
              <w:t>15.0</w:t>
            </w:r>
          </w:p>
        </w:tc>
        <w:tc>
          <w:tcPr>
            <w:tcW w:w="869" w:type="dxa"/>
          </w:tcPr>
          <w:p w14:paraId="516A5399" w14:textId="77777777" w:rsidR="00B5416E" w:rsidRPr="0040116E" w:rsidRDefault="00B5416E" w:rsidP="00B5416E">
            <w:pPr>
              <w:rPr>
                <w:sz w:val="18"/>
                <w:szCs w:val="18"/>
              </w:rPr>
            </w:pPr>
            <w:r>
              <w:rPr>
                <w:sz w:val="18"/>
                <w:szCs w:val="18"/>
              </w:rPr>
              <w:t>n/a</w:t>
            </w:r>
          </w:p>
        </w:tc>
        <w:tc>
          <w:tcPr>
            <w:tcW w:w="851" w:type="dxa"/>
          </w:tcPr>
          <w:p w14:paraId="77160618" w14:textId="77777777" w:rsidR="00B5416E" w:rsidRPr="0040116E" w:rsidRDefault="00B5416E" w:rsidP="00B5416E">
            <w:pPr>
              <w:rPr>
                <w:sz w:val="18"/>
                <w:szCs w:val="18"/>
              </w:rPr>
            </w:pPr>
            <w:r>
              <w:rPr>
                <w:sz w:val="18"/>
                <w:szCs w:val="18"/>
              </w:rPr>
              <w:t xml:space="preserve">4.7 </w:t>
            </w:r>
            <w:r>
              <w:rPr>
                <w:rFonts w:cs="Arial"/>
                <w:sz w:val="18"/>
                <w:szCs w:val="18"/>
                <w:lang w:bidi="ar-SA"/>
              </w:rPr>
              <w:t>± 0.2</w:t>
            </w:r>
            <w:r>
              <w:rPr>
                <w:rFonts w:cs="Arial"/>
                <w:sz w:val="18"/>
                <w:szCs w:val="18"/>
                <w:vertAlign w:val="superscript"/>
                <w:lang w:bidi="ar-SA"/>
              </w:rPr>
              <w:t>12</w:t>
            </w:r>
          </w:p>
        </w:tc>
        <w:tc>
          <w:tcPr>
            <w:tcW w:w="1134" w:type="dxa"/>
          </w:tcPr>
          <w:p w14:paraId="22F4CE0B" w14:textId="77777777" w:rsidR="00B5416E" w:rsidRPr="004444CF" w:rsidRDefault="00B5416E" w:rsidP="00B5416E">
            <w:pPr>
              <w:rPr>
                <w:sz w:val="18"/>
                <w:szCs w:val="18"/>
              </w:rPr>
            </w:pPr>
            <w:r w:rsidRPr="004444CF">
              <w:rPr>
                <w:sz w:val="18"/>
                <w:szCs w:val="18"/>
              </w:rPr>
              <w:t xml:space="preserve">-0.1 </w:t>
            </w:r>
            <w:r w:rsidRPr="004444CF">
              <w:rPr>
                <w:rFonts w:cs="Arial"/>
                <w:sz w:val="18"/>
                <w:szCs w:val="18"/>
                <w:lang w:bidi="ar-SA"/>
              </w:rPr>
              <w:t xml:space="preserve">± </w:t>
            </w:r>
            <w:r w:rsidRPr="006A6EE9">
              <w:rPr>
                <w:rFonts w:cs="Arial"/>
                <w:sz w:val="18"/>
                <w:szCs w:val="18"/>
                <w:lang w:bidi="ar-SA"/>
              </w:rPr>
              <w:t>0.05</w:t>
            </w:r>
          </w:p>
        </w:tc>
        <w:tc>
          <w:tcPr>
            <w:tcW w:w="567" w:type="dxa"/>
          </w:tcPr>
          <w:p w14:paraId="24913146" w14:textId="77777777" w:rsidR="00B5416E" w:rsidRPr="0040116E" w:rsidRDefault="00B5416E" w:rsidP="00B5416E">
            <w:pPr>
              <w:rPr>
                <w:sz w:val="18"/>
                <w:szCs w:val="18"/>
              </w:rPr>
            </w:pPr>
            <w:r>
              <w:rPr>
                <w:sz w:val="18"/>
                <w:szCs w:val="18"/>
              </w:rPr>
              <w:t>NSD</w:t>
            </w:r>
          </w:p>
        </w:tc>
        <w:tc>
          <w:tcPr>
            <w:tcW w:w="992" w:type="dxa"/>
          </w:tcPr>
          <w:p w14:paraId="711C0386" w14:textId="32F1E753" w:rsidR="00B5416E" w:rsidRPr="00B5416E" w:rsidRDefault="00B5416E" w:rsidP="00B5416E">
            <w:pPr>
              <w:rPr>
                <w:sz w:val="18"/>
                <w:szCs w:val="18"/>
              </w:rPr>
            </w:pPr>
            <w:r w:rsidRPr="00B5416E">
              <w:rPr>
                <w:sz w:val="18"/>
                <w:szCs w:val="18"/>
              </w:rPr>
              <w:t>n/a</w:t>
            </w:r>
          </w:p>
        </w:tc>
        <w:tc>
          <w:tcPr>
            <w:tcW w:w="851" w:type="dxa"/>
          </w:tcPr>
          <w:p w14:paraId="5AC01541" w14:textId="25D6F8C2" w:rsidR="00B5416E" w:rsidRPr="00B5416E" w:rsidRDefault="00B5416E" w:rsidP="00B5416E">
            <w:pPr>
              <w:rPr>
                <w:sz w:val="18"/>
                <w:szCs w:val="18"/>
              </w:rPr>
            </w:pPr>
            <w:r w:rsidRPr="00B5416E">
              <w:rPr>
                <w:sz w:val="18"/>
                <w:szCs w:val="18"/>
              </w:rPr>
              <w:t>n/a</w:t>
            </w:r>
          </w:p>
        </w:tc>
        <w:tc>
          <w:tcPr>
            <w:tcW w:w="992" w:type="dxa"/>
          </w:tcPr>
          <w:p w14:paraId="15FC35E8" w14:textId="1FAAA93F" w:rsidR="00B5416E" w:rsidRPr="00B5416E" w:rsidRDefault="00B5416E" w:rsidP="00B5416E">
            <w:pPr>
              <w:rPr>
                <w:sz w:val="18"/>
                <w:szCs w:val="18"/>
                <w:vertAlign w:val="superscript"/>
              </w:rPr>
            </w:pPr>
            <w:r w:rsidRPr="00B5416E">
              <w:rPr>
                <w:sz w:val="18"/>
                <w:szCs w:val="18"/>
              </w:rPr>
              <w:t>n/a</w:t>
            </w:r>
          </w:p>
        </w:tc>
        <w:tc>
          <w:tcPr>
            <w:tcW w:w="567" w:type="dxa"/>
          </w:tcPr>
          <w:p w14:paraId="07ACD037" w14:textId="2FCE349D" w:rsidR="00B5416E" w:rsidRPr="00B5416E" w:rsidRDefault="00B5416E" w:rsidP="00B5416E">
            <w:pPr>
              <w:rPr>
                <w:sz w:val="18"/>
                <w:szCs w:val="18"/>
              </w:rPr>
            </w:pPr>
            <w:r w:rsidRPr="00B5416E">
              <w:rPr>
                <w:sz w:val="18"/>
                <w:szCs w:val="18"/>
              </w:rPr>
              <w:t>n/a</w:t>
            </w:r>
          </w:p>
        </w:tc>
        <w:tc>
          <w:tcPr>
            <w:tcW w:w="850" w:type="dxa"/>
          </w:tcPr>
          <w:p w14:paraId="0BBC73AC" w14:textId="57FBD8E1" w:rsidR="00B5416E" w:rsidRPr="00B5416E" w:rsidRDefault="00B5416E" w:rsidP="00B5416E">
            <w:pPr>
              <w:rPr>
                <w:sz w:val="18"/>
                <w:szCs w:val="18"/>
              </w:rPr>
            </w:pPr>
            <w:r w:rsidRPr="00B5416E">
              <w:rPr>
                <w:sz w:val="18"/>
                <w:szCs w:val="18"/>
              </w:rPr>
              <w:t>n/a</w:t>
            </w:r>
          </w:p>
        </w:tc>
        <w:tc>
          <w:tcPr>
            <w:tcW w:w="851" w:type="dxa"/>
          </w:tcPr>
          <w:p w14:paraId="57AE4EF8" w14:textId="73BC1D6E" w:rsidR="00B5416E" w:rsidRPr="00B5416E" w:rsidRDefault="00B5416E" w:rsidP="00B5416E">
            <w:pPr>
              <w:rPr>
                <w:sz w:val="18"/>
                <w:szCs w:val="18"/>
              </w:rPr>
            </w:pPr>
            <w:r w:rsidRPr="00B5416E">
              <w:rPr>
                <w:sz w:val="18"/>
                <w:szCs w:val="18"/>
              </w:rPr>
              <w:t xml:space="preserve">9.4 </w:t>
            </w:r>
            <w:r w:rsidRPr="00B5416E">
              <w:rPr>
                <w:rFonts w:cs="Arial"/>
                <w:sz w:val="18"/>
                <w:szCs w:val="18"/>
                <w:lang w:bidi="ar-SA"/>
              </w:rPr>
              <w:t>± 3.6</w:t>
            </w:r>
            <w:r w:rsidRPr="00B5416E">
              <w:rPr>
                <w:rFonts w:cs="Arial"/>
                <w:sz w:val="18"/>
                <w:szCs w:val="18"/>
                <w:vertAlign w:val="superscript"/>
                <w:lang w:bidi="ar-SA"/>
              </w:rPr>
              <w:t>12</w:t>
            </w:r>
          </w:p>
        </w:tc>
        <w:tc>
          <w:tcPr>
            <w:tcW w:w="992" w:type="dxa"/>
          </w:tcPr>
          <w:p w14:paraId="551876DB" w14:textId="12C2022B" w:rsidR="00B5416E" w:rsidRPr="00B5416E" w:rsidRDefault="00B5416E" w:rsidP="00B5416E">
            <w:pPr>
              <w:rPr>
                <w:sz w:val="18"/>
                <w:szCs w:val="18"/>
              </w:rPr>
            </w:pPr>
            <w:r w:rsidRPr="00B5416E">
              <w:rPr>
                <w:sz w:val="18"/>
                <w:szCs w:val="18"/>
              </w:rPr>
              <w:t xml:space="preserve">-1.2 </w:t>
            </w:r>
            <w:r w:rsidRPr="00B5416E">
              <w:rPr>
                <w:rFonts w:cs="Arial"/>
                <w:sz w:val="18"/>
                <w:szCs w:val="18"/>
                <w:lang w:bidi="ar-SA"/>
              </w:rPr>
              <w:t>± 1.04</w:t>
            </w:r>
            <w:r w:rsidRPr="00B5416E">
              <w:rPr>
                <w:rFonts w:cs="Arial"/>
                <w:sz w:val="18"/>
                <w:szCs w:val="18"/>
                <w:vertAlign w:val="superscript"/>
                <w:lang w:bidi="ar-SA"/>
              </w:rPr>
              <w:t>11</w:t>
            </w:r>
          </w:p>
        </w:tc>
        <w:tc>
          <w:tcPr>
            <w:tcW w:w="567" w:type="dxa"/>
          </w:tcPr>
          <w:p w14:paraId="26948594" w14:textId="37D9F32E" w:rsidR="00B5416E" w:rsidRPr="00B5416E" w:rsidRDefault="00B5416E" w:rsidP="00B5416E">
            <w:pPr>
              <w:rPr>
                <w:sz w:val="18"/>
                <w:szCs w:val="18"/>
              </w:rPr>
            </w:pPr>
            <w:r w:rsidRPr="00B5416E">
              <w:rPr>
                <w:sz w:val="18"/>
                <w:szCs w:val="18"/>
              </w:rPr>
              <w:t>NSD</w:t>
            </w:r>
          </w:p>
        </w:tc>
        <w:tc>
          <w:tcPr>
            <w:tcW w:w="992" w:type="dxa"/>
          </w:tcPr>
          <w:p w14:paraId="2AD54653" w14:textId="77777777" w:rsidR="00B5416E" w:rsidRDefault="00B5416E" w:rsidP="00B5416E">
            <w:pPr>
              <w:rPr>
                <w:sz w:val="18"/>
                <w:szCs w:val="18"/>
              </w:rPr>
            </w:pPr>
            <w:r>
              <w:rPr>
                <w:sz w:val="18"/>
                <w:szCs w:val="18"/>
              </w:rPr>
              <w:t>n/a</w:t>
            </w:r>
          </w:p>
        </w:tc>
        <w:tc>
          <w:tcPr>
            <w:tcW w:w="1134" w:type="dxa"/>
          </w:tcPr>
          <w:p w14:paraId="52F7A389" w14:textId="77777777" w:rsidR="00B5416E" w:rsidRDefault="00B5416E" w:rsidP="00B5416E">
            <w:pPr>
              <w:rPr>
                <w:sz w:val="18"/>
                <w:szCs w:val="18"/>
              </w:rPr>
            </w:pPr>
            <w:r>
              <w:rPr>
                <w:sz w:val="18"/>
                <w:szCs w:val="18"/>
              </w:rPr>
              <w:t>n/a</w:t>
            </w:r>
          </w:p>
        </w:tc>
        <w:tc>
          <w:tcPr>
            <w:tcW w:w="851" w:type="dxa"/>
          </w:tcPr>
          <w:p w14:paraId="0149A041" w14:textId="77777777" w:rsidR="00B5416E" w:rsidRDefault="00B5416E" w:rsidP="00B5416E">
            <w:pPr>
              <w:rPr>
                <w:sz w:val="18"/>
                <w:szCs w:val="18"/>
              </w:rPr>
            </w:pPr>
            <w:r>
              <w:rPr>
                <w:sz w:val="18"/>
                <w:szCs w:val="18"/>
              </w:rPr>
              <w:t>n/a</w:t>
            </w:r>
          </w:p>
        </w:tc>
        <w:tc>
          <w:tcPr>
            <w:tcW w:w="567" w:type="dxa"/>
          </w:tcPr>
          <w:p w14:paraId="00959D28" w14:textId="77777777" w:rsidR="00B5416E" w:rsidRDefault="00B5416E" w:rsidP="00B5416E">
            <w:pPr>
              <w:rPr>
                <w:sz w:val="18"/>
                <w:szCs w:val="18"/>
              </w:rPr>
            </w:pPr>
            <w:r>
              <w:rPr>
                <w:sz w:val="18"/>
                <w:szCs w:val="18"/>
              </w:rPr>
              <w:t>n/a</w:t>
            </w:r>
          </w:p>
        </w:tc>
      </w:tr>
      <w:tr w:rsidR="00B5416E" w:rsidRPr="00AB00B0" w14:paraId="729CBC31" w14:textId="77777777" w:rsidTr="00AE37C2">
        <w:trPr>
          <w:trHeight w:val="451"/>
        </w:trPr>
        <w:tc>
          <w:tcPr>
            <w:tcW w:w="1118" w:type="dxa"/>
            <w:vMerge w:val="restart"/>
          </w:tcPr>
          <w:p w14:paraId="44D316D4" w14:textId="77777777" w:rsidR="00B5416E" w:rsidRPr="0040116E" w:rsidRDefault="00B5416E" w:rsidP="00B5416E">
            <w:pPr>
              <w:rPr>
                <w:sz w:val="18"/>
                <w:szCs w:val="18"/>
                <w:lang w:bidi="ar-SA"/>
              </w:rPr>
            </w:pPr>
            <w:r w:rsidRPr="0040116E">
              <w:rPr>
                <w:sz w:val="18"/>
                <w:szCs w:val="18"/>
                <w:lang w:bidi="ar-SA"/>
              </w:rPr>
              <w:t>Vulevic (2013)</w:t>
            </w:r>
          </w:p>
        </w:tc>
        <w:tc>
          <w:tcPr>
            <w:tcW w:w="843" w:type="dxa"/>
          </w:tcPr>
          <w:p w14:paraId="711F9ED9" w14:textId="77777777" w:rsidR="00B5416E" w:rsidRPr="0040116E" w:rsidRDefault="00B5416E" w:rsidP="00B5416E">
            <w:pPr>
              <w:rPr>
                <w:sz w:val="18"/>
                <w:szCs w:val="18"/>
              </w:rPr>
            </w:pPr>
            <w:r>
              <w:rPr>
                <w:sz w:val="18"/>
                <w:szCs w:val="18"/>
              </w:rPr>
              <w:t>0.0</w:t>
            </w:r>
          </w:p>
        </w:tc>
        <w:tc>
          <w:tcPr>
            <w:tcW w:w="869" w:type="dxa"/>
          </w:tcPr>
          <w:p w14:paraId="651DD7C7" w14:textId="77777777" w:rsidR="00B5416E" w:rsidRPr="0040116E" w:rsidRDefault="00B5416E" w:rsidP="00B5416E">
            <w:pPr>
              <w:rPr>
                <w:sz w:val="18"/>
                <w:szCs w:val="18"/>
              </w:rPr>
            </w:pPr>
            <w:r>
              <w:rPr>
                <w:sz w:val="18"/>
                <w:szCs w:val="18"/>
              </w:rPr>
              <w:t xml:space="preserve">5.2 </w:t>
            </w:r>
            <w:r>
              <w:rPr>
                <w:rFonts w:cs="Arial"/>
                <w:sz w:val="18"/>
                <w:szCs w:val="18"/>
                <w:lang w:bidi="ar-SA"/>
              </w:rPr>
              <w:t>±</w:t>
            </w:r>
            <w:r>
              <w:rPr>
                <w:sz w:val="18"/>
                <w:szCs w:val="18"/>
              </w:rPr>
              <w:t xml:space="preserve"> 0.9</w:t>
            </w:r>
          </w:p>
        </w:tc>
        <w:tc>
          <w:tcPr>
            <w:tcW w:w="851" w:type="dxa"/>
          </w:tcPr>
          <w:p w14:paraId="44EBCB54" w14:textId="77777777" w:rsidR="00B5416E" w:rsidRPr="0040116E" w:rsidRDefault="00B5416E" w:rsidP="00B5416E">
            <w:pPr>
              <w:rPr>
                <w:sz w:val="18"/>
                <w:szCs w:val="18"/>
              </w:rPr>
            </w:pPr>
            <w:r>
              <w:rPr>
                <w:sz w:val="18"/>
                <w:szCs w:val="18"/>
              </w:rPr>
              <w:t xml:space="preserve">5.6 </w:t>
            </w:r>
            <w:r>
              <w:rPr>
                <w:rFonts w:cs="Arial"/>
                <w:sz w:val="18"/>
                <w:szCs w:val="18"/>
                <w:lang w:bidi="ar-SA"/>
              </w:rPr>
              <w:t>±</w:t>
            </w:r>
            <w:r>
              <w:rPr>
                <w:sz w:val="18"/>
                <w:szCs w:val="18"/>
              </w:rPr>
              <w:t xml:space="preserve"> 0.8</w:t>
            </w:r>
          </w:p>
        </w:tc>
        <w:tc>
          <w:tcPr>
            <w:tcW w:w="1134" w:type="dxa"/>
          </w:tcPr>
          <w:p w14:paraId="24E42DC8" w14:textId="77777777" w:rsidR="00B5416E" w:rsidRPr="004444CF" w:rsidRDefault="00B5416E" w:rsidP="00B5416E">
            <w:pPr>
              <w:rPr>
                <w:sz w:val="18"/>
                <w:szCs w:val="18"/>
              </w:rPr>
            </w:pPr>
            <w:r w:rsidRPr="004444CF">
              <w:rPr>
                <w:sz w:val="18"/>
                <w:szCs w:val="18"/>
              </w:rPr>
              <w:t>n/a</w:t>
            </w:r>
          </w:p>
        </w:tc>
        <w:tc>
          <w:tcPr>
            <w:tcW w:w="567" w:type="dxa"/>
          </w:tcPr>
          <w:p w14:paraId="60BD2A72" w14:textId="77777777" w:rsidR="00B5416E" w:rsidRPr="0040116E" w:rsidRDefault="00B5416E" w:rsidP="00B5416E">
            <w:pPr>
              <w:rPr>
                <w:sz w:val="18"/>
                <w:szCs w:val="18"/>
              </w:rPr>
            </w:pPr>
            <w:r w:rsidRPr="0040116E">
              <w:rPr>
                <w:sz w:val="18"/>
                <w:szCs w:val="18"/>
              </w:rPr>
              <w:t>n/a</w:t>
            </w:r>
          </w:p>
        </w:tc>
        <w:tc>
          <w:tcPr>
            <w:tcW w:w="992" w:type="dxa"/>
          </w:tcPr>
          <w:p w14:paraId="54123A9E" w14:textId="6A21CE65" w:rsidR="00B5416E" w:rsidRPr="00B5416E" w:rsidRDefault="00B5416E" w:rsidP="00B5416E">
            <w:pPr>
              <w:rPr>
                <w:sz w:val="18"/>
                <w:szCs w:val="18"/>
              </w:rPr>
            </w:pPr>
            <w:r w:rsidRPr="00B5416E">
              <w:rPr>
                <w:sz w:val="18"/>
                <w:szCs w:val="18"/>
              </w:rPr>
              <w:t>n/a</w:t>
            </w:r>
          </w:p>
        </w:tc>
        <w:tc>
          <w:tcPr>
            <w:tcW w:w="851" w:type="dxa"/>
          </w:tcPr>
          <w:p w14:paraId="5A5FAC1E" w14:textId="1CE07D32" w:rsidR="00B5416E" w:rsidRPr="00B5416E" w:rsidRDefault="00B5416E" w:rsidP="00B5416E">
            <w:pPr>
              <w:rPr>
                <w:sz w:val="18"/>
                <w:szCs w:val="18"/>
              </w:rPr>
            </w:pPr>
            <w:r w:rsidRPr="00B5416E">
              <w:rPr>
                <w:sz w:val="18"/>
                <w:szCs w:val="18"/>
              </w:rPr>
              <w:t>n/a</w:t>
            </w:r>
          </w:p>
        </w:tc>
        <w:tc>
          <w:tcPr>
            <w:tcW w:w="992" w:type="dxa"/>
          </w:tcPr>
          <w:p w14:paraId="235AEA3E" w14:textId="1BD95C6D" w:rsidR="00B5416E" w:rsidRPr="00B5416E" w:rsidRDefault="00B5416E" w:rsidP="00B5416E">
            <w:pPr>
              <w:rPr>
                <w:sz w:val="18"/>
                <w:szCs w:val="18"/>
              </w:rPr>
            </w:pPr>
            <w:r w:rsidRPr="00B5416E">
              <w:rPr>
                <w:sz w:val="18"/>
                <w:szCs w:val="18"/>
              </w:rPr>
              <w:t>n/a</w:t>
            </w:r>
          </w:p>
        </w:tc>
        <w:tc>
          <w:tcPr>
            <w:tcW w:w="567" w:type="dxa"/>
          </w:tcPr>
          <w:p w14:paraId="71D92336" w14:textId="4030986F" w:rsidR="00B5416E" w:rsidRPr="00B5416E" w:rsidRDefault="00B5416E" w:rsidP="00B5416E">
            <w:pPr>
              <w:rPr>
                <w:sz w:val="18"/>
                <w:szCs w:val="18"/>
              </w:rPr>
            </w:pPr>
            <w:r w:rsidRPr="00B5416E">
              <w:rPr>
                <w:sz w:val="18"/>
                <w:szCs w:val="18"/>
              </w:rPr>
              <w:t>n/a</w:t>
            </w:r>
          </w:p>
        </w:tc>
        <w:tc>
          <w:tcPr>
            <w:tcW w:w="850" w:type="dxa"/>
          </w:tcPr>
          <w:p w14:paraId="3228D4E4" w14:textId="3F52F118" w:rsidR="00B5416E" w:rsidRPr="00B5416E" w:rsidRDefault="00B5416E" w:rsidP="00B5416E">
            <w:pPr>
              <w:rPr>
                <w:sz w:val="18"/>
                <w:szCs w:val="18"/>
              </w:rPr>
            </w:pPr>
            <w:r w:rsidRPr="00B5416E">
              <w:rPr>
                <w:sz w:val="18"/>
                <w:szCs w:val="18"/>
              </w:rPr>
              <w:t xml:space="preserve">64.8 </w:t>
            </w:r>
            <w:r w:rsidRPr="00B5416E">
              <w:rPr>
                <w:rFonts w:cs="Arial"/>
                <w:sz w:val="18"/>
                <w:szCs w:val="18"/>
                <w:lang w:bidi="ar-SA"/>
              </w:rPr>
              <w:t>±</w:t>
            </w:r>
            <w:r w:rsidRPr="00B5416E">
              <w:rPr>
                <w:sz w:val="18"/>
                <w:szCs w:val="18"/>
              </w:rPr>
              <w:t xml:space="preserve"> 30.6</w:t>
            </w:r>
          </w:p>
        </w:tc>
        <w:tc>
          <w:tcPr>
            <w:tcW w:w="851" w:type="dxa"/>
          </w:tcPr>
          <w:p w14:paraId="637BF57C" w14:textId="6BF80733" w:rsidR="00B5416E" w:rsidRPr="00B5416E" w:rsidRDefault="00B5416E" w:rsidP="00B5416E">
            <w:pPr>
              <w:rPr>
                <w:sz w:val="18"/>
                <w:szCs w:val="18"/>
              </w:rPr>
            </w:pPr>
            <w:r w:rsidRPr="00B5416E">
              <w:rPr>
                <w:sz w:val="18"/>
                <w:szCs w:val="18"/>
              </w:rPr>
              <w:t xml:space="preserve">70.1 </w:t>
            </w:r>
            <w:r w:rsidRPr="00B5416E">
              <w:rPr>
                <w:rFonts w:cs="Arial"/>
                <w:sz w:val="18"/>
                <w:szCs w:val="18"/>
                <w:lang w:bidi="ar-SA"/>
              </w:rPr>
              <w:t>±</w:t>
            </w:r>
            <w:r w:rsidRPr="00B5416E">
              <w:rPr>
                <w:sz w:val="18"/>
                <w:szCs w:val="18"/>
              </w:rPr>
              <w:t xml:space="preserve"> 36.8</w:t>
            </w:r>
          </w:p>
        </w:tc>
        <w:tc>
          <w:tcPr>
            <w:tcW w:w="992" w:type="dxa"/>
          </w:tcPr>
          <w:p w14:paraId="25857AE7" w14:textId="2539156F" w:rsidR="00B5416E" w:rsidRPr="00B5416E" w:rsidRDefault="00B5416E" w:rsidP="00B5416E">
            <w:pPr>
              <w:rPr>
                <w:sz w:val="18"/>
                <w:szCs w:val="18"/>
              </w:rPr>
            </w:pPr>
            <w:r w:rsidRPr="00B5416E">
              <w:rPr>
                <w:sz w:val="18"/>
                <w:szCs w:val="18"/>
              </w:rPr>
              <w:t>n/a</w:t>
            </w:r>
          </w:p>
        </w:tc>
        <w:tc>
          <w:tcPr>
            <w:tcW w:w="567" w:type="dxa"/>
          </w:tcPr>
          <w:p w14:paraId="0CC8B621" w14:textId="19F7F800" w:rsidR="00B5416E" w:rsidRPr="00B5416E" w:rsidRDefault="00B5416E" w:rsidP="00B5416E">
            <w:pPr>
              <w:rPr>
                <w:sz w:val="18"/>
                <w:szCs w:val="18"/>
              </w:rPr>
            </w:pPr>
            <w:r w:rsidRPr="00B5416E">
              <w:rPr>
                <w:sz w:val="18"/>
                <w:szCs w:val="18"/>
              </w:rPr>
              <w:t>n/a</w:t>
            </w:r>
          </w:p>
        </w:tc>
        <w:tc>
          <w:tcPr>
            <w:tcW w:w="992" w:type="dxa"/>
          </w:tcPr>
          <w:p w14:paraId="0AFFCB09" w14:textId="77777777" w:rsidR="00B5416E" w:rsidRPr="0040116E" w:rsidRDefault="00B5416E" w:rsidP="00B5416E">
            <w:pPr>
              <w:rPr>
                <w:sz w:val="18"/>
                <w:szCs w:val="18"/>
              </w:rPr>
            </w:pPr>
            <w:r>
              <w:rPr>
                <w:sz w:val="18"/>
                <w:szCs w:val="18"/>
              </w:rPr>
              <w:t>n/a</w:t>
            </w:r>
          </w:p>
        </w:tc>
        <w:tc>
          <w:tcPr>
            <w:tcW w:w="1134" w:type="dxa"/>
          </w:tcPr>
          <w:p w14:paraId="121CD0D8" w14:textId="77777777" w:rsidR="00B5416E" w:rsidRDefault="00B5416E" w:rsidP="00B5416E">
            <w:pPr>
              <w:rPr>
                <w:sz w:val="18"/>
                <w:szCs w:val="18"/>
              </w:rPr>
            </w:pPr>
            <w:r>
              <w:rPr>
                <w:sz w:val="18"/>
                <w:szCs w:val="18"/>
              </w:rPr>
              <w:t>n/a</w:t>
            </w:r>
          </w:p>
        </w:tc>
        <w:tc>
          <w:tcPr>
            <w:tcW w:w="851" w:type="dxa"/>
          </w:tcPr>
          <w:p w14:paraId="7684A743" w14:textId="77777777" w:rsidR="00B5416E" w:rsidRDefault="00B5416E" w:rsidP="00B5416E">
            <w:pPr>
              <w:rPr>
                <w:sz w:val="18"/>
                <w:szCs w:val="18"/>
              </w:rPr>
            </w:pPr>
            <w:r>
              <w:rPr>
                <w:sz w:val="18"/>
                <w:szCs w:val="18"/>
              </w:rPr>
              <w:t>n/a</w:t>
            </w:r>
          </w:p>
        </w:tc>
        <w:tc>
          <w:tcPr>
            <w:tcW w:w="567" w:type="dxa"/>
          </w:tcPr>
          <w:p w14:paraId="5A11A967" w14:textId="77777777" w:rsidR="00B5416E" w:rsidRDefault="00B5416E" w:rsidP="00B5416E">
            <w:pPr>
              <w:rPr>
                <w:sz w:val="18"/>
                <w:szCs w:val="18"/>
              </w:rPr>
            </w:pPr>
            <w:r>
              <w:rPr>
                <w:sz w:val="18"/>
                <w:szCs w:val="18"/>
              </w:rPr>
              <w:t>n/a</w:t>
            </w:r>
          </w:p>
        </w:tc>
      </w:tr>
      <w:tr w:rsidR="00B5416E" w:rsidRPr="00AB00B0" w14:paraId="712E2865" w14:textId="77777777" w:rsidTr="00AE37C2">
        <w:trPr>
          <w:trHeight w:val="451"/>
        </w:trPr>
        <w:tc>
          <w:tcPr>
            <w:tcW w:w="1118" w:type="dxa"/>
            <w:vMerge/>
          </w:tcPr>
          <w:p w14:paraId="01EC9399" w14:textId="77777777" w:rsidR="00B5416E" w:rsidRPr="0040116E" w:rsidRDefault="00B5416E" w:rsidP="00B5416E">
            <w:pPr>
              <w:rPr>
                <w:sz w:val="18"/>
                <w:szCs w:val="18"/>
              </w:rPr>
            </w:pPr>
          </w:p>
        </w:tc>
        <w:tc>
          <w:tcPr>
            <w:tcW w:w="843" w:type="dxa"/>
          </w:tcPr>
          <w:p w14:paraId="6BE7085B" w14:textId="77777777" w:rsidR="00B5416E" w:rsidRPr="0040116E" w:rsidRDefault="00B5416E" w:rsidP="00B5416E">
            <w:pPr>
              <w:rPr>
                <w:sz w:val="18"/>
                <w:szCs w:val="18"/>
              </w:rPr>
            </w:pPr>
            <w:r>
              <w:rPr>
                <w:sz w:val="18"/>
                <w:szCs w:val="18"/>
              </w:rPr>
              <w:t>2.6</w:t>
            </w:r>
          </w:p>
        </w:tc>
        <w:tc>
          <w:tcPr>
            <w:tcW w:w="869" w:type="dxa"/>
          </w:tcPr>
          <w:p w14:paraId="1938789C" w14:textId="77777777" w:rsidR="00B5416E" w:rsidRPr="0040116E" w:rsidRDefault="00B5416E" w:rsidP="00B5416E">
            <w:pPr>
              <w:rPr>
                <w:sz w:val="18"/>
                <w:szCs w:val="18"/>
              </w:rPr>
            </w:pPr>
            <w:r>
              <w:rPr>
                <w:sz w:val="18"/>
                <w:szCs w:val="18"/>
              </w:rPr>
              <w:t xml:space="preserve">5.4 </w:t>
            </w:r>
            <w:r>
              <w:rPr>
                <w:rFonts w:cs="Arial"/>
                <w:sz w:val="18"/>
                <w:szCs w:val="18"/>
                <w:lang w:bidi="ar-SA"/>
              </w:rPr>
              <w:t>±</w:t>
            </w:r>
            <w:r>
              <w:rPr>
                <w:sz w:val="18"/>
                <w:szCs w:val="18"/>
              </w:rPr>
              <w:t xml:space="preserve"> 0.6</w:t>
            </w:r>
          </w:p>
        </w:tc>
        <w:tc>
          <w:tcPr>
            <w:tcW w:w="851" w:type="dxa"/>
          </w:tcPr>
          <w:p w14:paraId="2677B24B" w14:textId="77777777" w:rsidR="00B5416E" w:rsidRPr="0040116E" w:rsidRDefault="00B5416E" w:rsidP="00B5416E">
            <w:pPr>
              <w:rPr>
                <w:sz w:val="18"/>
                <w:szCs w:val="18"/>
              </w:rPr>
            </w:pPr>
            <w:r>
              <w:rPr>
                <w:sz w:val="18"/>
                <w:szCs w:val="18"/>
              </w:rPr>
              <w:t xml:space="preserve">5.6 </w:t>
            </w:r>
            <w:r>
              <w:rPr>
                <w:rFonts w:cs="Arial"/>
                <w:sz w:val="18"/>
                <w:szCs w:val="18"/>
                <w:lang w:bidi="ar-SA"/>
              </w:rPr>
              <w:t>±</w:t>
            </w:r>
            <w:r>
              <w:rPr>
                <w:sz w:val="18"/>
                <w:szCs w:val="18"/>
              </w:rPr>
              <w:t xml:space="preserve"> 0.7</w:t>
            </w:r>
          </w:p>
        </w:tc>
        <w:tc>
          <w:tcPr>
            <w:tcW w:w="1134" w:type="dxa"/>
          </w:tcPr>
          <w:p w14:paraId="58FFB4DF" w14:textId="77777777" w:rsidR="00B5416E" w:rsidRPr="004444CF" w:rsidRDefault="00B5416E" w:rsidP="00B5416E">
            <w:pPr>
              <w:rPr>
                <w:sz w:val="18"/>
                <w:szCs w:val="18"/>
              </w:rPr>
            </w:pPr>
            <w:r w:rsidRPr="004444CF">
              <w:rPr>
                <w:sz w:val="18"/>
                <w:szCs w:val="18"/>
              </w:rPr>
              <w:t xml:space="preserve">-0.2 </w:t>
            </w:r>
            <w:r w:rsidRPr="004444CF">
              <w:rPr>
                <w:rFonts w:cs="Arial"/>
                <w:sz w:val="18"/>
                <w:szCs w:val="18"/>
                <w:lang w:bidi="ar-SA"/>
              </w:rPr>
              <w:t>±</w:t>
            </w:r>
            <w:r w:rsidRPr="004444CF">
              <w:rPr>
                <w:sz w:val="18"/>
                <w:szCs w:val="18"/>
              </w:rPr>
              <w:t xml:space="preserve"> </w:t>
            </w:r>
            <w:r w:rsidRPr="006A6EE9">
              <w:rPr>
                <w:sz w:val="18"/>
                <w:szCs w:val="18"/>
              </w:rPr>
              <w:t>0.1</w:t>
            </w:r>
          </w:p>
        </w:tc>
        <w:tc>
          <w:tcPr>
            <w:tcW w:w="567" w:type="dxa"/>
          </w:tcPr>
          <w:p w14:paraId="64CAAFBE" w14:textId="77777777" w:rsidR="00B5416E" w:rsidRPr="00A348C0" w:rsidRDefault="00B5416E" w:rsidP="00B5416E">
            <w:pPr>
              <w:rPr>
                <w:sz w:val="18"/>
                <w:szCs w:val="18"/>
                <w:vertAlign w:val="superscript"/>
              </w:rPr>
            </w:pPr>
            <w:r>
              <w:rPr>
                <w:sz w:val="18"/>
                <w:szCs w:val="18"/>
              </w:rPr>
              <w:t>NSD</w:t>
            </w:r>
          </w:p>
        </w:tc>
        <w:tc>
          <w:tcPr>
            <w:tcW w:w="992" w:type="dxa"/>
          </w:tcPr>
          <w:p w14:paraId="4EC4F8F8" w14:textId="041A7ABA" w:rsidR="00B5416E" w:rsidRPr="00B5416E" w:rsidRDefault="00B5416E" w:rsidP="00B5416E">
            <w:pPr>
              <w:rPr>
                <w:sz w:val="18"/>
                <w:szCs w:val="18"/>
              </w:rPr>
            </w:pPr>
            <w:r w:rsidRPr="00B5416E">
              <w:rPr>
                <w:sz w:val="18"/>
                <w:szCs w:val="18"/>
              </w:rPr>
              <w:t>n/a</w:t>
            </w:r>
          </w:p>
        </w:tc>
        <w:tc>
          <w:tcPr>
            <w:tcW w:w="851" w:type="dxa"/>
          </w:tcPr>
          <w:p w14:paraId="75901FFA" w14:textId="48829A27" w:rsidR="00B5416E" w:rsidRPr="00B5416E" w:rsidRDefault="00B5416E" w:rsidP="00B5416E">
            <w:pPr>
              <w:rPr>
                <w:sz w:val="18"/>
                <w:szCs w:val="18"/>
              </w:rPr>
            </w:pPr>
            <w:r w:rsidRPr="00B5416E">
              <w:rPr>
                <w:sz w:val="18"/>
                <w:szCs w:val="18"/>
              </w:rPr>
              <w:t>n/a</w:t>
            </w:r>
          </w:p>
        </w:tc>
        <w:tc>
          <w:tcPr>
            <w:tcW w:w="992" w:type="dxa"/>
          </w:tcPr>
          <w:p w14:paraId="3527AA83" w14:textId="78CE2365" w:rsidR="00B5416E" w:rsidRPr="00B5416E" w:rsidRDefault="00B5416E" w:rsidP="00B5416E">
            <w:pPr>
              <w:rPr>
                <w:sz w:val="18"/>
                <w:szCs w:val="18"/>
              </w:rPr>
            </w:pPr>
            <w:r w:rsidRPr="00B5416E">
              <w:rPr>
                <w:sz w:val="18"/>
                <w:szCs w:val="18"/>
              </w:rPr>
              <w:t>n/a</w:t>
            </w:r>
          </w:p>
        </w:tc>
        <w:tc>
          <w:tcPr>
            <w:tcW w:w="567" w:type="dxa"/>
          </w:tcPr>
          <w:p w14:paraId="4DC5449F" w14:textId="456C573C" w:rsidR="00B5416E" w:rsidRPr="00B5416E" w:rsidRDefault="00B5416E" w:rsidP="00B5416E">
            <w:pPr>
              <w:rPr>
                <w:sz w:val="18"/>
                <w:szCs w:val="18"/>
              </w:rPr>
            </w:pPr>
            <w:r w:rsidRPr="00B5416E">
              <w:rPr>
                <w:sz w:val="18"/>
                <w:szCs w:val="18"/>
              </w:rPr>
              <w:t>n/a</w:t>
            </w:r>
          </w:p>
        </w:tc>
        <w:tc>
          <w:tcPr>
            <w:tcW w:w="850" w:type="dxa"/>
          </w:tcPr>
          <w:p w14:paraId="23E66A38" w14:textId="58F1E613" w:rsidR="00B5416E" w:rsidRPr="00B5416E" w:rsidRDefault="00B5416E" w:rsidP="00B5416E">
            <w:pPr>
              <w:rPr>
                <w:sz w:val="18"/>
                <w:szCs w:val="18"/>
              </w:rPr>
            </w:pPr>
            <w:r w:rsidRPr="00B5416E">
              <w:rPr>
                <w:sz w:val="18"/>
                <w:szCs w:val="18"/>
              </w:rPr>
              <w:t xml:space="preserve">67.3 </w:t>
            </w:r>
            <w:r w:rsidRPr="00B5416E">
              <w:rPr>
                <w:rFonts w:cs="Arial"/>
                <w:sz w:val="18"/>
                <w:szCs w:val="18"/>
                <w:lang w:bidi="ar-SA"/>
              </w:rPr>
              <w:t xml:space="preserve">± </w:t>
            </w:r>
            <w:r w:rsidRPr="00B5416E">
              <w:rPr>
                <w:sz w:val="18"/>
                <w:szCs w:val="18"/>
              </w:rPr>
              <w:t>30.9</w:t>
            </w:r>
          </w:p>
        </w:tc>
        <w:tc>
          <w:tcPr>
            <w:tcW w:w="851" w:type="dxa"/>
          </w:tcPr>
          <w:p w14:paraId="5985B3BE" w14:textId="53144B15" w:rsidR="00B5416E" w:rsidRPr="00B5416E" w:rsidRDefault="00B5416E" w:rsidP="00B5416E">
            <w:pPr>
              <w:rPr>
                <w:sz w:val="18"/>
                <w:szCs w:val="18"/>
              </w:rPr>
            </w:pPr>
            <w:r w:rsidRPr="00B5416E">
              <w:rPr>
                <w:sz w:val="18"/>
                <w:szCs w:val="18"/>
              </w:rPr>
              <w:t xml:space="preserve">58.1 </w:t>
            </w:r>
            <w:r w:rsidRPr="00B5416E">
              <w:rPr>
                <w:rFonts w:cs="Arial"/>
                <w:sz w:val="18"/>
                <w:szCs w:val="18"/>
                <w:lang w:bidi="ar-SA"/>
              </w:rPr>
              <w:t>±</w:t>
            </w:r>
            <w:r w:rsidRPr="00B5416E">
              <w:rPr>
                <w:sz w:val="18"/>
                <w:szCs w:val="18"/>
              </w:rPr>
              <w:t xml:space="preserve"> 29.7</w:t>
            </w:r>
          </w:p>
        </w:tc>
        <w:tc>
          <w:tcPr>
            <w:tcW w:w="992" w:type="dxa"/>
          </w:tcPr>
          <w:p w14:paraId="794D7236" w14:textId="4C9138D9" w:rsidR="00B5416E" w:rsidRPr="00B5416E" w:rsidRDefault="00B5416E" w:rsidP="00B5416E">
            <w:pPr>
              <w:rPr>
                <w:sz w:val="18"/>
                <w:szCs w:val="18"/>
              </w:rPr>
            </w:pPr>
            <w:r w:rsidRPr="00B5416E">
              <w:rPr>
                <w:sz w:val="18"/>
                <w:szCs w:val="18"/>
              </w:rPr>
              <w:t xml:space="preserve">-14.5 </w:t>
            </w:r>
            <w:r w:rsidRPr="00B5416E">
              <w:rPr>
                <w:rFonts w:cs="Arial"/>
                <w:sz w:val="18"/>
                <w:szCs w:val="18"/>
                <w:lang w:bidi="ar-SA"/>
              </w:rPr>
              <w:t>±</w:t>
            </w:r>
            <w:r w:rsidRPr="00B5416E">
              <w:rPr>
                <w:sz w:val="18"/>
                <w:szCs w:val="18"/>
              </w:rPr>
              <w:t xml:space="preserve"> 6.1</w:t>
            </w:r>
          </w:p>
        </w:tc>
        <w:tc>
          <w:tcPr>
            <w:tcW w:w="567" w:type="dxa"/>
          </w:tcPr>
          <w:p w14:paraId="2B237AED" w14:textId="7A3EBCF6" w:rsidR="00B5416E" w:rsidRPr="00B5416E" w:rsidRDefault="00B5416E" w:rsidP="00B5416E">
            <w:pPr>
              <w:rPr>
                <w:sz w:val="18"/>
                <w:szCs w:val="18"/>
              </w:rPr>
            </w:pPr>
            <w:r w:rsidRPr="00B5416E">
              <w:rPr>
                <w:sz w:val="18"/>
                <w:szCs w:val="18"/>
              </w:rPr>
              <w:t>&lt;0.005</w:t>
            </w:r>
            <w:r w:rsidRPr="00B5416E">
              <w:rPr>
                <w:sz w:val="18"/>
                <w:szCs w:val="18"/>
                <w:vertAlign w:val="superscript"/>
              </w:rPr>
              <w:t>8</w:t>
            </w:r>
          </w:p>
        </w:tc>
        <w:tc>
          <w:tcPr>
            <w:tcW w:w="992" w:type="dxa"/>
          </w:tcPr>
          <w:p w14:paraId="0B2FB2F0" w14:textId="77777777" w:rsidR="00B5416E" w:rsidRPr="0040116E" w:rsidRDefault="00B5416E" w:rsidP="00B5416E">
            <w:pPr>
              <w:rPr>
                <w:sz w:val="18"/>
                <w:szCs w:val="18"/>
              </w:rPr>
            </w:pPr>
            <w:r>
              <w:rPr>
                <w:sz w:val="18"/>
                <w:szCs w:val="18"/>
              </w:rPr>
              <w:t>n/a</w:t>
            </w:r>
          </w:p>
        </w:tc>
        <w:tc>
          <w:tcPr>
            <w:tcW w:w="1134" w:type="dxa"/>
          </w:tcPr>
          <w:p w14:paraId="3FF056B0" w14:textId="77777777" w:rsidR="00B5416E" w:rsidRDefault="00B5416E" w:rsidP="00B5416E">
            <w:pPr>
              <w:rPr>
                <w:sz w:val="18"/>
                <w:szCs w:val="18"/>
              </w:rPr>
            </w:pPr>
            <w:r>
              <w:rPr>
                <w:sz w:val="18"/>
                <w:szCs w:val="18"/>
              </w:rPr>
              <w:t>n/a</w:t>
            </w:r>
          </w:p>
        </w:tc>
        <w:tc>
          <w:tcPr>
            <w:tcW w:w="851" w:type="dxa"/>
          </w:tcPr>
          <w:p w14:paraId="023A6BF1" w14:textId="77777777" w:rsidR="00B5416E" w:rsidRDefault="00B5416E" w:rsidP="00B5416E">
            <w:pPr>
              <w:rPr>
                <w:sz w:val="18"/>
                <w:szCs w:val="18"/>
              </w:rPr>
            </w:pPr>
            <w:r>
              <w:rPr>
                <w:sz w:val="18"/>
                <w:szCs w:val="18"/>
              </w:rPr>
              <w:t>n/a</w:t>
            </w:r>
          </w:p>
        </w:tc>
        <w:tc>
          <w:tcPr>
            <w:tcW w:w="567" w:type="dxa"/>
          </w:tcPr>
          <w:p w14:paraId="164BB367" w14:textId="77777777" w:rsidR="00B5416E" w:rsidRDefault="00B5416E" w:rsidP="00B5416E">
            <w:pPr>
              <w:rPr>
                <w:sz w:val="18"/>
                <w:szCs w:val="18"/>
              </w:rPr>
            </w:pPr>
            <w:r>
              <w:rPr>
                <w:sz w:val="18"/>
                <w:szCs w:val="18"/>
              </w:rPr>
              <w:t>n/a</w:t>
            </w:r>
          </w:p>
        </w:tc>
      </w:tr>
      <w:tr w:rsidR="00B5416E" w:rsidRPr="00AB00B0" w14:paraId="73EE6617" w14:textId="77777777" w:rsidTr="00AE37C2">
        <w:trPr>
          <w:trHeight w:val="451"/>
        </w:trPr>
        <w:tc>
          <w:tcPr>
            <w:tcW w:w="1118" w:type="dxa"/>
            <w:vMerge w:val="restart"/>
          </w:tcPr>
          <w:p w14:paraId="12D0A175" w14:textId="353E2CA2" w:rsidR="00B5416E" w:rsidRPr="0040116E" w:rsidRDefault="00A407D3" w:rsidP="00B5416E">
            <w:pPr>
              <w:rPr>
                <w:sz w:val="18"/>
                <w:szCs w:val="18"/>
                <w:lang w:bidi="ar-SA"/>
              </w:rPr>
            </w:pPr>
            <w:r>
              <w:rPr>
                <w:sz w:val="18"/>
                <w:szCs w:val="18"/>
                <w:lang w:bidi="ar-SA"/>
              </w:rPr>
              <w:t>Pedersen</w:t>
            </w:r>
            <w:r w:rsidR="00B5416E" w:rsidRPr="0040116E">
              <w:rPr>
                <w:sz w:val="18"/>
                <w:szCs w:val="18"/>
                <w:lang w:bidi="ar-SA"/>
              </w:rPr>
              <w:t xml:space="preserve"> (2016)</w:t>
            </w:r>
          </w:p>
        </w:tc>
        <w:tc>
          <w:tcPr>
            <w:tcW w:w="843" w:type="dxa"/>
          </w:tcPr>
          <w:p w14:paraId="68CEB53B" w14:textId="77777777" w:rsidR="00B5416E" w:rsidRPr="0040116E" w:rsidRDefault="00B5416E" w:rsidP="00B5416E">
            <w:pPr>
              <w:rPr>
                <w:sz w:val="18"/>
                <w:szCs w:val="18"/>
              </w:rPr>
            </w:pPr>
            <w:r>
              <w:rPr>
                <w:sz w:val="18"/>
                <w:szCs w:val="18"/>
              </w:rPr>
              <w:t>0.0</w:t>
            </w:r>
          </w:p>
        </w:tc>
        <w:tc>
          <w:tcPr>
            <w:tcW w:w="869" w:type="dxa"/>
          </w:tcPr>
          <w:p w14:paraId="5D0B8D52" w14:textId="77777777" w:rsidR="00B5416E" w:rsidRPr="0040116E" w:rsidRDefault="00B5416E" w:rsidP="00B5416E">
            <w:pPr>
              <w:rPr>
                <w:sz w:val="18"/>
                <w:szCs w:val="18"/>
              </w:rPr>
            </w:pPr>
            <w:r>
              <w:rPr>
                <w:sz w:val="18"/>
                <w:szCs w:val="18"/>
              </w:rPr>
              <w:t xml:space="preserve">6.2 </w:t>
            </w:r>
            <w:r w:rsidRPr="00E51336">
              <w:rPr>
                <w:rFonts w:cs="Arial"/>
                <w:sz w:val="18"/>
                <w:szCs w:val="18"/>
                <w:lang w:bidi="ar-SA"/>
              </w:rPr>
              <w:t>±</w:t>
            </w:r>
            <w:r>
              <w:rPr>
                <w:rFonts w:cs="Arial"/>
                <w:sz w:val="18"/>
                <w:szCs w:val="18"/>
                <w:lang w:bidi="ar-SA"/>
              </w:rPr>
              <w:t xml:space="preserve"> 0.3</w:t>
            </w:r>
          </w:p>
        </w:tc>
        <w:tc>
          <w:tcPr>
            <w:tcW w:w="851" w:type="dxa"/>
          </w:tcPr>
          <w:p w14:paraId="1F396A6B" w14:textId="77777777" w:rsidR="00B5416E" w:rsidRPr="0040116E" w:rsidRDefault="00B5416E" w:rsidP="00B5416E">
            <w:pPr>
              <w:rPr>
                <w:sz w:val="18"/>
                <w:szCs w:val="18"/>
              </w:rPr>
            </w:pPr>
            <w:r>
              <w:rPr>
                <w:sz w:val="18"/>
                <w:szCs w:val="18"/>
              </w:rPr>
              <w:t xml:space="preserve">6.5 </w:t>
            </w:r>
            <w:r w:rsidRPr="00E51336">
              <w:rPr>
                <w:rFonts w:cs="Arial"/>
                <w:sz w:val="18"/>
                <w:szCs w:val="18"/>
                <w:lang w:bidi="ar-SA"/>
              </w:rPr>
              <w:t>±</w:t>
            </w:r>
            <w:r>
              <w:rPr>
                <w:rFonts w:cs="Arial"/>
                <w:sz w:val="18"/>
                <w:szCs w:val="18"/>
                <w:lang w:bidi="ar-SA"/>
              </w:rPr>
              <w:t xml:space="preserve"> 0.3</w:t>
            </w:r>
          </w:p>
        </w:tc>
        <w:tc>
          <w:tcPr>
            <w:tcW w:w="1134" w:type="dxa"/>
          </w:tcPr>
          <w:p w14:paraId="78B4465C" w14:textId="77777777" w:rsidR="00B5416E" w:rsidRPr="004444CF" w:rsidRDefault="00B5416E" w:rsidP="00B5416E">
            <w:pPr>
              <w:rPr>
                <w:sz w:val="18"/>
                <w:szCs w:val="18"/>
              </w:rPr>
            </w:pPr>
            <w:r w:rsidRPr="004444CF">
              <w:rPr>
                <w:sz w:val="18"/>
                <w:szCs w:val="18"/>
              </w:rPr>
              <w:t>n/a</w:t>
            </w:r>
          </w:p>
        </w:tc>
        <w:tc>
          <w:tcPr>
            <w:tcW w:w="567" w:type="dxa"/>
          </w:tcPr>
          <w:p w14:paraId="36FC402B" w14:textId="77777777" w:rsidR="00B5416E" w:rsidRPr="0040116E" w:rsidRDefault="00B5416E" w:rsidP="00B5416E">
            <w:pPr>
              <w:rPr>
                <w:sz w:val="18"/>
                <w:szCs w:val="18"/>
              </w:rPr>
            </w:pPr>
            <w:r w:rsidRPr="0040116E">
              <w:rPr>
                <w:sz w:val="18"/>
                <w:szCs w:val="18"/>
              </w:rPr>
              <w:t>n/a</w:t>
            </w:r>
          </w:p>
        </w:tc>
        <w:tc>
          <w:tcPr>
            <w:tcW w:w="992" w:type="dxa"/>
          </w:tcPr>
          <w:p w14:paraId="06367822" w14:textId="183DFDE6" w:rsidR="00B5416E" w:rsidRPr="00B5416E" w:rsidRDefault="00B5416E" w:rsidP="00B5416E">
            <w:pPr>
              <w:rPr>
                <w:sz w:val="18"/>
                <w:szCs w:val="18"/>
              </w:rPr>
            </w:pPr>
            <w:r w:rsidRPr="00B5416E">
              <w:rPr>
                <w:sz w:val="18"/>
                <w:szCs w:val="18"/>
              </w:rPr>
              <w:t xml:space="preserve">6.4 </w:t>
            </w:r>
            <w:r w:rsidRPr="00B5416E">
              <w:rPr>
                <w:rFonts w:cs="Arial"/>
                <w:sz w:val="18"/>
                <w:szCs w:val="18"/>
                <w:lang w:bidi="ar-SA"/>
              </w:rPr>
              <w:t>± 0.2</w:t>
            </w:r>
          </w:p>
        </w:tc>
        <w:tc>
          <w:tcPr>
            <w:tcW w:w="851" w:type="dxa"/>
          </w:tcPr>
          <w:p w14:paraId="72AB60E7" w14:textId="0A357206" w:rsidR="00B5416E" w:rsidRPr="00B5416E" w:rsidRDefault="00B5416E" w:rsidP="00B5416E">
            <w:pPr>
              <w:rPr>
                <w:sz w:val="18"/>
                <w:szCs w:val="18"/>
              </w:rPr>
            </w:pPr>
            <w:r w:rsidRPr="00B5416E">
              <w:rPr>
                <w:sz w:val="18"/>
                <w:szCs w:val="18"/>
              </w:rPr>
              <w:t xml:space="preserve">6.6 </w:t>
            </w:r>
            <w:r w:rsidRPr="00B5416E">
              <w:rPr>
                <w:rFonts w:cs="Arial"/>
                <w:sz w:val="18"/>
                <w:szCs w:val="18"/>
                <w:lang w:bidi="ar-SA"/>
              </w:rPr>
              <w:t>± 0.2</w:t>
            </w:r>
          </w:p>
        </w:tc>
        <w:tc>
          <w:tcPr>
            <w:tcW w:w="992" w:type="dxa"/>
          </w:tcPr>
          <w:p w14:paraId="33B172BB" w14:textId="79F300F4" w:rsidR="00B5416E" w:rsidRPr="00B5416E" w:rsidRDefault="00B5416E" w:rsidP="00B5416E">
            <w:pPr>
              <w:rPr>
                <w:sz w:val="18"/>
                <w:szCs w:val="18"/>
              </w:rPr>
            </w:pPr>
            <w:r w:rsidRPr="00B5416E">
              <w:rPr>
                <w:sz w:val="18"/>
                <w:szCs w:val="18"/>
              </w:rPr>
              <w:t>n/a</w:t>
            </w:r>
          </w:p>
        </w:tc>
        <w:tc>
          <w:tcPr>
            <w:tcW w:w="567" w:type="dxa"/>
          </w:tcPr>
          <w:p w14:paraId="398B50AB" w14:textId="7A854C63" w:rsidR="00B5416E" w:rsidRPr="00B5416E" w:rsidRDefault="00B5416E" w:rsidP="00B5416E">
            <w:pPr>
              <w:rPr>
                <w:sz w:val="18"/>
                <w:szCs w:val="18"/>
              </w:rPr>
            </w:pPr>
            <w:r w:rsidRPr="00B5416E">
              <w:rPr>
                <w:sz w:val="18"/>
                <w:szCs w:val="18"/>
              </w:rPr>
              <w:t>n/a</w:t>
            </w:r>
          </w:p>
        </w:tc>
        <w:tc>
          <w:tcPr>
            <w:tcW w:w="850" w:type="dxa"/>
          </w:tcPr>
          <w:p w14:paraId="30A276B4" w14:textId="53E42B4B" w:rsidR="00B5416E" w:rsidRPr="00B5416E" w:rsidRDefault="00B5416E" w:rsidP="00B5416E">
            <w:pPr>
              <w:rPr>
                <w:sz w:val="18"/>
                <w:szCs w:val="18"/>
              </w:rPr>
            </w:pPr>
            <w:r w:rsidRPr="00B5416E">
              <w:rPr>
                <w:sz w:val="18"/>
                <w:szCs w:val="18"/>
              </w:rPr>
              <w:t>94.6</w:t>
            </w:r>
            <w:r w:rsidRPr="00B5416E">
              <w:rPr>
                <w:rFonts w:cs="Arial"/>
                <w:sz w:val="18"/>
                <w:szCs w:val="18"/>
                <w:lang w:bidi="ar-SA"/>
              </w:rPr>
              <w:t xml:space="preserve"> ± 15.3</w:t>
            </w:r>
          </w:p>
        </w:tc>
        <w:tc>
          <w:tcPr>
            <w:tcW w:w="851" w:type="dxa"/>
          </w:tcPr>
          <w:p w14:paraId="63B0B546" w14:textId="735DB4E2" w:rsidR="00B5416E" w:rsidRPr="00B5416E" w:rsidRDefault="00B5416E" w:rsidP="00B5416E">
            <w:pPr>
              <w:rPr>
                <w:sz w:val="18"/>
                <w:szCs w:val="18"/>
              </w:rPr>
            </w:pPr>
            <w:r w:rsidRPr="00B5416E">
              <w:rPr>
                <w:sz w:val="18"/>
                <w:szCs w:val="18"/>
              </w:rPr>
              <w:t xml:space="preserve">83.0 </w:t>
            </w:r>
            <w:r w:rsidRPr="00B5416E">
              <w:rPr>
                <w:rFonts w:cs="Arial"/>
                <w:sz w:val="18"/>
                <w:szCs w:val="18"/>
                <w:lang w:bidi="ar-SA"/>
              </w:rPr>
              <w:t>± 13.0</w:t>
            </w:r>
          </w:p>
        </w:tc>
        <w:tc>
          <w:tcPr>
            <w:tcW w:w="992" w:type="dxa"/>
          </w:tcPr>
          <w:p w14:paraId="0D272F20" w14:textId="6CF13DBB" w:rsidR="00B5416E" w:rsidRPr="00B5416E" w:rsidRDefault="00B5416E" w:rsidP="00B5416E">
            <w:pPr>
              <w:rPr>
                <w:sz w:val="18"/>
                <w:szCs w:val="18"/>
              </w:rPr>
            </w:pPr>
            <w:r w:rsidRPr="00B5416E">
              <w:rPr>
                <w:sz w:val="18"/>
                <w:szCs w:val="18"/>
              </w:rPr>
              <w:t>n/a</w:t>
            </w:r>
          </w:p>
        </w:tc>
        <w:tc>
          <w:tcPr>
            <w:tcW w:w="567" w:type="dxa"/>
          </w:tcPr>
          <w:p w14:paraId="3347994C" w14:textId="7DDA240B" w:rsidR="00B5416E" w:rsidRPr="00B5416E" w:rsidRDefault="00B5416E" w:rsidP="00B5416E">
            <w:pPr>
              <w:rPr>
                <w:sz w:val="18"/>
                <w:szCs w:val="18"/>
              </w:rPr>
            </w:pPr>
            <w:r w:rsidRPr="00B5416E">
              <w:rPr>
                <w:sz w:val="18"/>
                <w:szCs w:val="18"/>
              </w:rPr>
              <w:t>n/a</w:t>
            </w:r>
          </w:p>
        </w:tc>
        <w:tc>
          <w:tcPr>
            <w:tcW w:w="992" w:type="dxa"/>
          </w:tcPr>
          <w:p w14:paraId="5CD0B4B3" w14:textId="77777777" w:rsidR="00B5416E" w:rsidRPr="0040116E" w:rsidRDefault="00B5416E" w:rsidP="00B5416E">
            <w:pPr>
              <w:rPr>
                <w:sz w:val="18"/>
                <w:szCs w:val="18"/>
              </w:rPr>
            </w:pPr>
            <w:r>
              <w:rPr>
                <w:sz w:val="18"/>
                <w:szCs w:val="18"/>
              </w:rPr>
              <w:t>1.9</w:t>
            </w:r>
            <w:r>
              <w:rPr>
                <w:sz w:val="18"/>
                <w:szCs w:val="18"/>
                <w:lang w:bidi="ar-SA"/>
              </w:rPr>
              <w:t xml:space="preserve"> </w:t>
            </w:r>
            <w:r w:rsidRPr="00E51336">
              <w:rPr>
                <w:rFonts w:cs="Arial"/>
                <w:sz w:val="18"/>
                <w:szCs w:val="18"/>
                <w:lang w:bidi="ar-SA"/>
              </w:rPr>
              <w:t>±</w:t>
            </w:r>
            <w:r>
              <w:rPr>
                <w:rFonts w:cs="Arial"/>
                <w:sz w:val="18"/>
                <w:szCs w:val="18"/>
                <w:lang w:bidi="ar-SA"/>
              </w:rPr>
              <w:t xml:space="preserve"> 1.3</w:t>
            </w:r>
          </w:p>
        </w:tc>
        <w:tc>
          <w:tcPr>
            <w:tcW w:w="1134" w:type="dxa"/>
          </w:tcPr>
          <w:p w14:paraId="4DB12ACB" w14:textId="77777777" w:rsidR="00B5416E" w:rsidRDefault="00B5416E" w:rsidP="00B5416E">
            <w:pPr>
              <w:rPr>
                <w:sz w:val="18"/>
                <w:szCs w:val="18"/>
              </w:rPr>
            </w:pPr>
            <w:r>
              <w:rPr>
                <w:sz w:val="18"/>
                <w:szCs w:val="18"/>
              </w:rPr>
              <w:t>1.8</w:t>
            </w:r>
            <w:r>
              <w:rPr>
                <w:sz w:val="18"/>
                <w:szCs w:val="18"/>
                <w:lang w:bidi="ar-SA"/>
              </w:rPr>
              <w:t xml:space="preserve"> </w:t>
            </w:r>
            <w:r w:rsidRPr="00E51336">
              <w:rPr>
                <w:rFonts w:cs="Arial"/>
                <w:sz w:val="18"/>
                <w:szCs w:val="18"/>
                <w:lang w:bidi="ar-SA"/>
              </w:rPr>
              <w:t>±</w:t>
            </w:r>
            <w:r>
              <w:rPr>
                <w:rFonts w:cs="Arial"/>
                <w:sz w:val="18"/>
                <w:szCs w:val="18"/>
                <w:lang w:bidi="ar-SA"/>
              </w:rPr>
              <w:t xml:space="preserve"> 1.0</w:t>
            </w:r>
          </w:p>
        </w:tc>
        <w:tc>
          <w:tcPr>
            <w:tcW w:w="851" w:type="dxa"/>
          </w:tcPr>
          <w:p w14:paraId="20C37993" w14:textId="77777777" w:rsidR="00B5416E" w:rsidRDefault="00B5416E" w:rsidP="00B5416E">
            <w:pPr>
              <w:rPr>
                <w:sz w:val="18"/>
                <w:szCs w:val="18"/>
              </w:rPr>
            </w:pPr>
            <w:r w:rsidRPr="0040116E">
              <w:rPr>
                <w:sz w:val="18"/>
                <w:szCs w:val="18"/>
              </w:rPr>
              <w:t>n/a</w:t>
            </w:r>
          </w:p>
        </w:tc>
        <w:tc>
          <w:tcPr>
            <w:tcW w:w="567" w:type="dxa"/>
          </w:tcPr>
          <w:p w14:paraId="061BCF5A" w14:textId="77777777" w:rsidR="00B5416E" w:rsidRDefault="00B5416E" w:rsidP="00B5416E">
            <w:pPr>
              <w:rPr>
                <w:sz w:val="18"/>
                <w:szCs w:val="18"/>
              </w:rPr>
            </w:pPr>
            <w:r w:rsidRPr="0040116E">
              <w:rPr>
                <w:sz w:val="18"/>
                <w:szCs w:val="18"/>
              </w:rPr>
              <w:t>n/a</w:t>
            </w:r>
          </w:p>
        </w:tc>
      </w:tr>
      <w:tr w:rsidR="00B5416E" w:rsidRPr="00AB00B0" w14:paraId="6149B787" w14:textId="77777777" w:rsidTr="00AE37C2">
        <w:trPr>
          <w:trHeight w:val="451"/>
        </w:trPr>
        <w:tc>
          <w:tcPr>
            <w:tcW w:w="1118" w:type="dxa"/>
            <w:vMerge/>
          </w:tcPr>
          <w:p w14:paraId="1BCF7B9D" w14:textId="77777777" w:rsidR="00B5416E" w:rsidRPr="0040116E" w:rsidRDefault="00B5416E" w:rsidP="00B5416E">
            <w:pPr>
              <w:rPr>
                <w:sz w:val="18"/>
                <w:szCs w:val="18"/>
                <w:lang w:bidi="ar-SA"/>
              </w:rPr>
            </w:pPr>
          </w:p>
        </w:tc>
        <w:tc>
          <w:tcPr>
            <w:tcW w:w="843" w:type="dxa"/>
          </w:tcPr>
          <w:p w14:paraId="01C6083C" w14:textId="77777777" w:rsidR="00B5416E" w:rsidRPr="0040116E" w:rsidRDefault="00B5416E" w:rsidP="00B5416E">
            <w:pPr>
              <w:rPr>
                <w:sz w:val="18"/>
                <w:szCs w:val="18"/>
              </w:rPr>
            </w:pPr>
            <w:r>
              <w:rPr>
                <w:sz w:val="18"/>
                <w:szCs w:val="18"/>
              </w:rPr>
              <w:t>2.6</w:t>
            </w:r>
          </w:p>
        </w:tc>
        <w:tc>
          <w:tcPr>
            <w:tcW w:w="869" w:type="dxa"/>
          </w:tcPr>
          <w:p w14:paraId="2536A33D" w14:textId="77777777" w:rsidR="00B5416E" w:rsidRPr="0040116E" w:rsidRDefault="00B5416E" w:rsidP="00B5416E">
            <w:pPr>
              <w:rPr>
                <w:sz w:val="18"/>
                <w:szCs w:val="18"/>
              </w:rPr>
            </w:pPr>
            <w:r>
              <w:rPr>
                <w:sz w:val="18"/>
                <w:szCs w:val="18"/>
              </w:rPr>
              <w:t xml:space="preserve">6.1 </w:t>
            </w:r>
            <w:r w:rsidRPr="00E51336">
              <w:rPr>
                <w:rFonts w:cs="Arial"/>
                <w:sz w:val="18"/>
                <w:szCs w:val="18"/>
                <w:lang w:bidi="ar-SA"/>
              </w:rPr>
              <w:t>±</w:t>
            </w:r>
            <w:r>
              <w:rPr>
                <w:rFonts w:cs="Arial"/>
                <w:sz w:val="18"/>
                <w:szCs w:val="18"/>
                <w:lang w:bidi="ar-SA"/>
              </w:rPr>
              <w:t xml:space="preserve"> 0.4</w:t>
            </w:r>
          </w:p>
        </w:tc>
        <w:tc>
          <w:tcPr>
            <w:tcW w:w="851" w:type="dxa"/>
          </w:tcPr>
          <w:p w14:paraId="3C2132E7" w14:textId="77777777" w:rsidR="00B5416E" w:rsidRPr="0040116E" w:rsidRDefault="00B5416E" w:rsidP="00B5416E">
            <w:pPr>
              <w:rPr>
                <w:sz w:val="18"/>
                <w:szCs w:val="18"/>
              </w:rPr>
            </w:pPr>
            <w:r w:rsidRPr="00C60955">
              <w:rPr>
                <w:sz w:val="18"/>
                <w:szCs w:val="18"/>
              </w:rPr>
              <w:t>6.8</w:t>
            </w:r>
            <w:r w:rsidRPr="00C60955">
              <w:rPr>
                <w:sz w:val="18"/>
                <w:szCs w:val="18"/>
                <w:vertAlign w:val="superscript"/>
              </w:rPr>
              <w:t>10</w:t>
            </w:r>
            <w:r w:rsidRPr="00C60955">
              <w:rPr>
                <w:sz w:val="18"/>
                <w:szCs w:val="18"/>
              </w:rPr>
              <w:t xml:space="preserve"> </w:t>
            </w:r>
            <w:r w:rsidRPr="00C60955">
              <w:rPr>
                <w:rFonts w:cs="Arial"/>
                <w:sz w:val="18"/>
                <w:szCs w:val="18"/>
                <w:lang w:bidi="ar-SA"/>
              </w:rPr>
              <w:t>± 0.4</w:t>
            </w:r>
          </w:p>
        </w:tc>
        <w:tc>
          <w:tcPr>
            <w:tcW w:w="1134" w:type="dxa"/>
          </w:tcPr>
          <w:p w14:paraId="60AAAD4B" w14:textId="77777777" w:rsidR="00B5416E" w:rsidRPr="004444CF" w:rsidRDefault="00B5416E" w:rsidP="00B5416E">
            <w:pPr>
              <w:rPr>
                <w:sz w:val="18"/>
                <w:szCs w:val="18"/>
              </w:rPr>
            </w:pPr>
            <w:r w:rsidRPr="004444CF">
              <w:rPr>
                <w:sz w:val="18"/>
                <w:szCs w:val="18"/>
              </w:rPr>
              <w:t xml:space="preserve">0.4 </w:t>
            </w:r>
            <w:r w:rsidRPr="006A6EE9">
              <w:rPr>
                <w:rFonts w:cs="Arial"/>
                <w:sz w:val="18"/>
                <w:szCs w:val="18"/>
                <w:lang w:bidi="ar-SA"/>
              </w:rPr>
              <w:t>± 0.4</w:t>
            </w:r>
          </w:p>
        </w:tc>
        <w:tc>
          <w:tcPr>
            <w:tcW w:w="567" w:type="dxa"/>
          </w:tcPr>
          <w:p w14:paraId="0EC70D3C" w14:textId="77777777" w:rsidR="00B5416E" w:rsidRPr="002F3B34" w:rsidRDefault="00B5416E" w:rsidP="00B5416E">
            <w:pPr>
              <w:rPr>
                <w:sz w:val="18"/>
                <w:szCs w:val="18"/>
              </w:rPr>
            </w:pPr>
            <w:r w:rsidRPr="002F3B34">
              <w:rPr>
                <w:sz w:val="18"/>
                <w:szCs w:val="18"/>
              </w:rPr>
              <w:t>0.227</w:t>
            </w:r>
          </w:p>
        </w:tc>
        <w:tc>
          <w:tcPr>
            <w:tcW w:w="992" w:type="dxa"/>
          </w:tcPr>
          <w:p w14:paraId="05537B5C" w14:textId="65A1AE67" w:rsidR="00B5416E" w:rsidRPr="00B5416E" w:rsidRDefault="00B5416E" w:rsidP="00B5416E">
            <w:pPr>
              <w:rPr>
                <w:sz w:val="18"/>
                <w:szCs w:val="18"/>
              </w:rPr>
            </w:pPr>
            <w:r w:rsidRPr="00B5416E">
              <w:rPr>
                <w:sz w:val="18"/>
                <w:szCs w:val="18"/>
              </w:rPr>
              <w:t xml:space="preserve">6.8 </w:t>
            </w:r>
            <w:r w:rsidRPr="00B5416E">
              <w:rPr>
                <w:rFonts w:cs="Arial"/>
                <w:sz w:val="18"/>
                <w:szCs w:val="18"/>
                <w:lang w:bidi="ar-SA"/>
              </w:rPr>
              <w:t>± 0.3</w:t>
            </w:r>
          </w:p>
        </w:tc>
        <w:tc>
          <w:tcPr>
            <w:tcW w:w="851" w:type="dxa"/>
          </w:tcPr>
          <w:p w14:paraId="6EB0339D" w14:textId="22C5F6B6" w:rsidR="00B5416E" w:rsidRPr="00B5416E" w:rsidRDefault="00B5416E" w:rsidP="00B5416E">
            <w:pPr>
              <w:rPr>
                <w:sz w:val="18"/>
                <w:szCs w:val="18"/>
              </w:rPr>
            </w:pPr>
            <w:r w:rsidRPr="00B5416E">
              <w:rPr>
                <w:sz w:val="18"/>
                <w:szCs w:val="18"/>
              </w:rPr>
              <w:t xml:space="preserve">7.0 </w:t>
            </w:r>
            <w:r w:rsidRPr="00B5416E">
              <w:rPr>
                <w:rFonts w:cs="Arial"/>
                <w:sz w:val="18"/>
                <w:szCs w:val="18"/>
                <w:lang w:bidi="ar-SA"/>
              </w:rPr>
              <w:t>± 0.3</w:t>
            </w:r>
          </w:p>
        </w:tc>
        <w:tc>
          <w:tcPr>
            <w:tcW w:w="992" w:type="dxa"/>
          </w:tcPr>
          <w:p w14:paraId="78B8FAE7" w14:textId="67D5FAEE" w:rsidR="00B5416E" w:rsidRPr="00B5416E" w:rsidRDefault="00B5416E" w:rsidP="00B5416E">
            <w:pPr>
              <w:rPr>
                <w:sz w:val="18"/>
                <w:szCs w:val="18"/>
              </w:rPr>
            </w:pPr>
            <w:r w:rsidRPr="00B5416E">
              <w:rPr>
                <w:sz w:val="18"/>
                <w:szCs w:val="18"/>
              </w:rPr>
              <w:t xml:space="preserve">0.0 </w:t>
            </w:r>
            <w:r w:rsidRPr="00B5416E">
              <w:rPr>
                <w:rFonts w:cs="Arial"/>
                <w:sz w:val="18"/>
                <w:szCs w:val="18"/>
                <w:lang w:bidi="ar-SA"/>
              </w:rPr>
              <w:t>± 0.3</w:t>
            </w:r>
          </w:p>
        </w:tc>
        <w:tc>
          <w:tcPr>
            <w:tcW w:w="567" w:type="dxa"/>
          </w:tcPr>
          <w:p w14:paraId="6B7E6D45" w14:textId="375C28B4" w:rsidR="00B5416E" w:rsidRPr="00B5416E" w:rsidRDefault="00B5416E" w:rsidP="00B5416E">
            <w:pPr>
              <w:rPr>
                <w:sz w:val="18"/>
                <w:szCs w:val="18"/>
              </w:rPr>
            </w:pPr>
            <w:r w:rsidRPr="00B5416E">
              <w:rPr>
                <w:sz w:val="18"/>
                <w:szCs w:val="18"/>
              </w:rPr>
              <w:t>n/a</w:t>
            </w:r>
          </w:p>
        </w:tc>
        <w:tc>
          <w:tcPr>
            <w:tcW w:w="850" w:type="dxa"/>
          </w:tcPr>
          <w:p w14:paraId="6C32EBEC" w14:textId="34A5B69A" w:rsidR="00B5416E" w:rsidRPr="00B5416E" w:rsidRDefault="00B5416E" w:rsidP="00B5416E">
            <w:pPr>
              <w:rPr>
                <w:sz w:val="18"/>
                <w:szCs w:val="18"/>
              </w:rPr>
            </w:pPr>
            <w:r w:rsidRPr="00B5416E">
              <w:rPr>
                <w:sz w:val="18"/>
                <w:szCs w:val="18"/>
              </w:rPr>
              <w:t xml:space="preserve">83.5 </w:t>
            </w:r>
            <w:r w:rsidRPr="00B5416E">
              <w:rPr>
                <w:rFonts w:cs="Arial"/>
                <w:sz w:val="18"/>
                <w:szCs w:val="18"/>
                <w:lang w:bidi="ar-SA"/>
              </w:rPr>
              <w:t>± 14.7</w:t>
            </w:r>
          </w:p>
        </w:tc>
        <w:tc>
          <w:tcPr>
            <w:tcW w:w="851" w:type="dxa"/>
          </w:tcPr>
          <w:p w14:paraId="7891A050" w14:textId="545B0E7B" w:rsidR="00B5416E" w:rsidRPr="00B5416E" w:rsidRDefault="00B5416E" w:rsidP="00B5416E">
            <w:pPr>
              <w:rPr>
                <w:sz w:val="18"/>
                <w:szCs w:val="18"/>
              </w:rPr>
            </w:pPr>
            <w:r w:rsidRPr="00B5416E">
              <w:rPr>
                <w:sz w:val="18"/>
                <w:szCs w:val="18"/>
              </w:rPr>
              <w:t xml:space="preserve">94.0 </w:t>
            </w:r>
            <w:r w:rsidRPr="00B5416E">
              <w:rPr>
                <w:rFonts w:cs="Arial"/>
                <w:sz w:val="18"/>
                <w:szCs w:val="18"/>
                <w:lang w:bidi="ar-SA"/>
              </w:rPr>
              <w:t>± 18.7</w:t>
            </w:r>
          </w:p>
        </w:tc>
        <w:tc>
          <w:tcPr>
            <w:tcW w:w="992" w:type="dxa"/>
          </w:tcPr>
          <w:p w14:paraId="05C00657" w14:textId="44476B09" w:rsidR="00B5416E" w:rsidRPr="00B5416E" w:rsidRDefault="00B5416E" w:rsidP="00B5416E">
            <w:pPr>
              <w:rPr>
                <w:sz w:val="18"/>
                <w:szCs w:val="18"/>
              </w:rPr>
            </w:pPr>
            <w:r w:rsidRPr="00B5416E">
              <w:rPr>
                <w:sz w:val="18"/>
                <w:szCs w:val="18"/>
              </w:rPr>
              <w:t xml:space="preserve">22.1 </w:t>
            </w:r>
            <w:r w:rsidRPr="00B5416E">
              <w:rPr>
                <w:rFonts w:cs="Arial"/>
                <w:sz w:val="18"/>
                <w:szCs w:val="18"/>
                <w:lang w:bidi="ar-SA"/>
              </w:rPr>
              <w:t>± 20.0</w:t>
            </w:r>
          </w:p>
        </w:tc>
        <w:tc>
          <w:tcPr>
            <w:tcW w:w="567" w:type="dxa"/>
          </w:tcPr>
          <w:p w14:paraId="32BFF306" w14:textId="02E216C2" w:rsidR="00B5416E" w:rsidRPr="00B5416E" w:rsidRDefault="00B5416E" w:rsidP="00B5416E">
            <w:pPr>
              <w:rPr>
                <w:sz w:val="18"/>
                <w:szCs w:val="18"/>
              </w:rPr>
            </w:pPr>
            <w:r w:rsidRPr="00B5416E">
              <w:rPr>
                <w:sz w:val="18"/>
                <w:szCs w:val="18"/>
              </w:rPr>
              <w:t>0.543</w:t>
            </w:r>
          </w:p>
        </w:tc>
        <w:tc>
          <w:tcPr>
            <w:tcW w:w="992" w:type="dxa"/>
          </w:tcPr>
          <w:p w14:paraId="08DB0899" w14:textId="77777777" w:rsidR="00B5416E" w:rsidRPr="0040116E" w:rsidRDefault="00B5416E" w:rsidP="00B5416E">
            <w:pPr>
              <w:rPr>
                <w:sz w:val="18"/>
                <w:szCs w:val="18"/>
              </w:rPr>
            </w:pPr>
            <w:r>
              <w:rPr>
                <w:sz w:val="18"/>
                <w:szCs w:val="18"/>
              </w:rPr>
              <w:t>1.6</w:t>
            </w:r>
            <w:r>
              <w:rPr>
                <w:sz w:val="18"/>
                <w:szCs w:val="18"/>
                <w:lang w:bidi="ar-SA"/>
              </w:rPr>
              <w:t xml:space="preserve"> </w:t>
            </w:r>
            <w:r w:rsidRPr="00E51336">
              <w:rPr>
                <w:rFonts w:cs="Arial"/>
                <w:sz w:val="18"/>
                <w:szCs w:val="18"/>
                <w:lang w:bidi="ar-SA"/>
              </w:rPr>
              <w:t>±</w:t>
            </w:r>
            <w:r>
              <w:rPr>
                <w:rFonts w:cs="Arial"/>
                <w:sz w:val="18"/>
                <w:szCs w:val="18"/>
                <w:lang w:bidi="ar-SA"/>
              </w:rPr>
              <w:t xml:space="preserve"> 1.0</w:t>
            </w:r>
          </w:p>
        </w:tc>
        <w:tc>
          <w:tcPr>
            <w:tcW w:w="1134" w:type="dxa"/>
          </w:tcPr>
          <w:p w14:paraId="55E579C5" w14:textId="77777777" w:rsidR="00B5416E" w:rsidRDefault="00B5416E" w:rsidP="00B5416E">
            <w:pPr>
              <w:rPr>
                <w:sz w:val="18"/>
                <w:szCs w:val="18"/>
              </w:rPr>
            </w:pPr>
            <w:r>
              <w:rPr>
                <w:sz w:val="18"/>
                <w:szCs w:val="18"/>
              </w:rPr>
              <w:t>1.8</w:t>
            </w:r>
            <w:r>
              <w:rPr>
                <w:sz w:val="18"/>
                <w:szCs w:val="18"/>
                <w:lang w:bidi="ar-SA"/>
              </w:rPr>
              <w:t xml:space="preserve"> </w:t>
            </w:r>
            <w:r w:rsidRPr="00E51336">
              <w:rPr>
                <w:rFonts w:cs="Arial"/>
                <w:sz w:val="18"/>
                <w:szCs w:val="18"/>
                <w:lang w:bidi="ar-SA"/>
              </w:rPr>
              <w:t>±</w:t>
            </w:r>
            <w:r>
              <w:rPr>
                <w:rFonts w:cs="Arial"/>
                <w:sz w:val="18"/>
                <w:szCs w:val="18"/>
                <w:lang w:bidi="ar-SA"/>
              </w:rPr>
              <w:t xml:space="preserve"> 1.3</w:t>
            </w:r>
          </w:p>
        </w:tc>
        <w:tc>
          <w:tcPr>
            <w:tcW w:w="851" w:type="dxa"/>
          </w:tcPr>
          <w:p w14:paraId="5F7D7080" w14:textId="77777777" w:rsidR="00B5416E" w:rsidRPr="00F61BC0" w:rsidRDefault="00B5416E" w:rsidP="00B5416E">
            <w:pPr>
              <w:rPr>
                <w:sz w:val="18"/>
                <w:szCs w:val="18"/>
              </w:rPr>
            </w:pPr>
            <w:r w:rsidRPr="00F61BC0">
              <w:rPr>
                <w:sz w:val="18"/>
                <w:szCs w:val="18"/>
              </w:rPr>
              <w:t xml:space="preserve">0.3 </w:t>
            </w:r>
            <w:r w:rsidRPr="00F61BC0">
              <w:rPr>
                <w:rFonts w:cs="Arial"/>
                <w:sz w:val="18"/>
                <w:szCs w:val="18"/>
                <w:lang w:bidi="ar-SA"/>
              </w:rPr>
              <w:t>± 0.4</w:t>
            </w:r>
          </w:p>
        </w:tc>
        <w:tc>
          <w:tcPr>
            <w:tcW w:w="567" w:type="dxa"/>
          </w:tcPr>
          <w:p w14:paraId="6A51DAF4" w14:textId="706EC287" w:rsidR="00B5416E" w:rsidRDefault="00B5416E" w:rsidP="00B5416E">
            <w:pPr>
              <w:rPr>
                <w:sz w:val="18"/>
                <w:szCs w:val="18"/>
              </w:rPr>
            </w:pPr>
            <w:r>
              <w:rPr>
                <w:sz w:val="18"/>
                <w:szCs w:val="18"/>
              </w:rPr>
              <w:t>0.199</w:t>
            </w:r>
          </w:p>
        </w:tc>
      </w:tr>
      <w:tr w:rsidR="00B5416E" w:rsidRPr="00AB00B0" w14:paraId="31A849BC" w14:textId="77777777" w:rsidTr="00AE37C2">
        <w:trPr>
          <w:trHeight w:val="451"/>
        </w:trPr>
        <w:tc>
          <w:tcPr>
            <w:tcW w:w="1118" w:type="dxa"/>
            <w:vMerge w:val="restart"/>
          </w:tcPr>
          <w:p w14:paraId="64129DAB" w14:textId="77777777" w:rsidR="00B5416E" w:rsidRDefault="00B5416E" w:rsidP="00B5416E">
            <w:pPr>
              <w:rPr>
                <w:sz w:val="18"/>
                <w:szCs w:val="18"/>
                <w:lang w:bidi="ar-SA"/>
              </w:rPr>
            </w:pPr>
            <w:r>
              <w:rPr>
                <w:sz w:val="18"/>
                <w:szCs w:val="18"/>
                <w:lang w:bidi="ar-SA"/>
              </w:rPr>
              <w:t>Canfora (2017)</w:t>
            </w:r>
          </w:p>
          <w:p w14:paraId="39378AFA" w14:textId="77777777" w:rsidR="00B5416E" w:rsidRDefault="00B5416E" w:rsidP="00B5416E">
            <w:pPr>
              <w:rPr>
                <w:sz w:val="18"/>
                <w:szCs w:val="18"/>
                <w:lang w:bidi="ar-SA"/>
              </w:rPr>
            </w:pPr>
          </w:p>
        </w:tc>
        <w:tc>
          <w:tcPr>
            <w:tcW w:w="843" w:type="dxa"/>
          </w:tcPr>
          <w:p w14:paraId="22DB7B34" w14:textId="77777777" w:rsidR="00B5416E" w:rsidRPr="00991A9C" w:rsidRDefault="00B5416E" w:rsidP="00B5416E">
            <w:pPr>
              <w:rPr>
                <w:sz w:val="18"/>
                <w:szCs w:val="18"/>
              </w:rPr>
            </w:pPr>
            <w:r w:rsidRPr="0040116E">
              <w:rPr>
                <w:sz w:val="18"/>
                <w:szCs w:val="18"/>
              </w:rPr>
              <w:t>0.0</w:t>
            </w:r>
          </w:p>
        </w:tc>
        <w:tc>
          <w:tcPr>
            <w:tcW w:w="869" w:type="dxa"/>
          </w:tcPr>
          <w:p w14:paraId="59124052" w14:textId="77777777" w:rsidR="00B5416E" w:rsidRDefault="00B5416E" w:rsidP="00B5416E">
            <w:pPr>
              <w:rPr>
                <w:rFonts w:cs="Arial"/>
                <w:sz w:val="18"/>
                <w:szCs w:val="18"/>
                <w:lang w:bidi="ar-SA"/>
              </w:rPr>
            </w:pPr>
            <w:r w:rsidRPr="00E51336">
              <w:rPr>
                <w:sz w:val="18"/>
                <w:szCs w:val="18"/>
                <w:lang w:bidi="ar-SA"/>
              </w:rPr>
              <w:t xml:space="preserve">5.8 </w:t>
            </w:r>
            <w:r w:rsidRPr="00E51336">
              <w:rPr>
                <w:rFonts w:cs="Arial"/>
                <w:sz w:val="18"/>
                <w:szCs w:val="18"/>
                <w:lang w:bidi="ar-SA"/>
              </w:rPr>
              <w:t>±</w:t>
            </w:r>
          </w:p>
          <w:p w14:paraId="2C3A801A" w14:textId="77777777" w:rsidR="00B5416E" w:rsidRPr="00E51336" w:rsidRDefault="00B5416E" w:rsidP="00B5416E">
            <w:pPr>
              <w:rPr>
                <w:sz w:val="18"/>
                <w:szCs w:val="18"/>
              </w:rPr>
            </w:pPr>
            <w:r>
              <w:rPr>
                <w:sz w:val="18"/>
                <w:szCs w:val="18"/>
              </w:rPr>
              <w:t>0.4</w:t>
            </w:r>
          </w:p>
        </w:tc>
        <w:tc>
          <w:tcPr>
            <w:tcW w:w="851" w:type="dxa"/>
          </w:tcPr>
          <w:p w14:paraId="5B513804" w14:textId="77777777" w:rsidR="00B5416E" w:rsidRDefault="00B5416E" w:rsidP="00B5416E">
            <w:pPr>
              <w:rPr>
                <w:rFonts w:cs="Arial"/>
                <w:sz w:val="18"/>
                <w:szCs w:val="18"/>
                <w:lang w:bidi="ar-SA"/>
              </w:rPr>
            </w:pPr>
            <w:r w:rsidRPr="00E51336">
              <w:rPr>
                <w:sz w:val="18"/>
                <w:szCs w:val="18"/>
                <w:lang w:bidi="ar-SA"/>
              </w:rPr>
              <w:t xml:space="preserve">5.8 </w:t>
            </w:r>
            <w:r w:rsidRPr="00E51336">
              <w:rPr>
                <w:rFonts w:cs="Arial"/>
                <w:sz w:val="18"/>
                <w:szCs w:val="18"/>
                <w:lang w:bidi="ar-SA"/>
              </w:rPr>
              <w:t>±</w:t>
            </w:r>
          </w:p>
          <w:p w14:paraId="55DED1BC" w14:textId="77777777" w:rsidR="00B5416E" w:rsidRPr="00E51336" w:rsidRDefault="00B5416E" w:rsidP="00B5416E">
            <w:pPr>
              <w:rPr>
                <w:sz w:val="18"/>
                <w:szCs w:val="18"/>
              </w:rPr>
            </w:pPr>
            <w:r>
              <w:rPr>
                <w:sz w:val="18"/>
                <w:szCs w:val="18"/>
              </w:rPr>
              <w:t>0.5</w:t>
            </w:r>
          </w:p>
        </w:tc>
        <w:tc>
          <w:tcPr>
            <w:tcW w:w="1134" w:type="dxa"/>
          </w:tcPr>
          <w:p w14:paraId="602102CB" w14:textId="77777777" w:rsidR="00B5416E" w:rsidRPr="004444CF" w:rsidRDefault="00B5416E" w:rsidP="00B5416E">
            <w:pPr>
              <w:rPr>
                <w:sz w:val="18"/>
                <w:szCs w:val="18"/>
              </w:rPr>
            </w:pPr>
            <w:r w:rsidRPr="004444CF">
              <w:rPr>
                <w:sz w:val="18"/>
                <w:szCs w:val="18"/>
              </w:rPr>
              <w:t>n/a</w:t>
            </w:r>
          </w:p>
        </w:tc>
        <w:tc>
          <w:tcPr>
            <w:tcW w:w="567" w:type="dxa"/>
          </w:tcPr>
          <w:p w14:paraId="6D751C5B" w14:textId="77777777" w:rsidR="00B5416E" w:rsidRPr="00E51336" w:rsidRDefault="00B5416E" w:rsidP="00B5416E">
            <w:pPr>
              <w:rPr>
                <w:sz w:val="18"/>
                <w:szCs w:val="18"/>
              </w:rPr>
            </w:pPr>
            <w:r w:rsidRPr="00E51336">
              <w:rPr>
                <w:sz w:val="18"/>
                <w:szCs w:val="18"/>
              </w:rPr>
              <w:t>n/a</w:t>
            </w:r>
          </w:p>
        </w:tc>
        <w:tc>
          <w:tcPr>
            <w:tcW w:w="992" w:type="dxa"/>
          </w:tcPr>
          <w:p w14:paraId="40CDBD81" w14:textId="3A471DAB" w:rsidR="00B5416E" w:rsidRPr="00B5416E" w:rsidRDefault="00B5416E" w:rsidP="00B5416E">
            <w:pPr>
              <w:rPr>
                <w:sz w:val="18"/>
                <w:szCs w:val="18"/>
              </w:rPr>
            </w:pPr>
            <w:r w:rsidRPr="00B5416E">
              <w:rPr>
                <w:sz w:val="18"/>
                <w:szCs w:val="18"/>
                <w:lang w:bidi="ar-SA"/>
              </w:rPr>
              <w:t xml:space="preserve">5.6 </w:t>
            </w:r>
            <w:r w:rsidRPr="00B5416E">
              <w:rPr>
                <w:rFonts w:cs="Arial"/>
                <w:sz w:val="18"/>
                <w:szCs w:val="18"/>
                <w:lang w:bidi="ar-SA"/>
              </w:rPr>
              <w:t>± 0.4</w:t>
            </w:r>
          </w:p>
        </w:tc>
        <w:tc>
          <w:tcPr>
            <w:tcW w:w="851" w:type="dxa"/>
          </w:tcPr>
          <w:p w14:paraId="2FEBCDD0" w14:textId="111EA309" w:rsidR="00B5416E" w:rsidRPr="00B5416E" w:rsidRDefault="00B5416E" w:rsidP="00B5416E">
            <w:pPr>
              <w:rPr>
                <w:sz w:val="18"/>
                <w:szCs w:val="18"/>
              </w:rPr>
            </w:pPr>
            <w:r w:rsidRPr="00B5416E">
              <w:rPr>
                <w:sz w:val="18"/>
                <w:szCs w:val="18"/>
              </w:rPr>
              <w:t>n/a</w:t>
            </w:r>
          </w:p>
        </w:tc>
        <w:tc>
          <w:tcPr>
            <w:tcW w:w="992" w:type="dxa"/>
          </w:tcPr>
          <w:p w14:paraId="04437723" w14:textId="34C681A6" w:rsidR="00B5416E" w:rsidRPr="00B5416E" w:rsidRDefault="00B5416E" w:rsidP="00B5416E">
            <w:pPr>
              <w:rPr>
                <w:sz w:val="18"/>
                <w:szCs w:val="18"/>
              </w:rPr>
            </w:pPr>
            <w:r w:rsidRPr="00B5416E">
              <w:rPr>
                <w:sz w:val="18"/>
                <w:szCs w:val="18"/>
              </w:rPr>
              <w:t>n/a</w:t>
            </w:r>
          </w:p>
        </w:tc>
        <w:tc>
          <w:tcPr>
            <w:tcW w:w="567" w:type="dxa"/>
          </w:tcPr>
          <w:p w14:paraId="2B3E33A3" w14:textId="4DF6D28D" w:rsidR="00B5416E" w:rsidRPr="00B5416E" w:rsidRDefault="00B5416E" w:rsidP="00B5416E">
            <w:pPr>
              <w:rPr>
                <w:sz w:val="18"/>
                <w:szCs w:val="18"/>
              </w:rPr>
            </w:pPr>
            <w:r w:rsidRPr="00B5416E">
              <w:rPr>
                <w:sz w:val="18"/>
                <w:szCs w:val="18"/>
              </w:rPr>
              <w:t>n/a</w:t>
            </w:r>
          </w:p>
        </w:tc>
        <w:tc>
          <w:tcPr>
            <w:tcW w:w="850" w:type="dxa"/>
          </w:tcPr>
          <w:p w14:paraId="0C4FB75B" w14:textId="368FC5D4" w:rsidR="00B5416E" w:rsidRPr="0075612C" w:rsidRDefault="00B5416E" w:rsidP="00B5416E">
            <w:pPr>
              <w:rPr>
                <w:sz w:val="18"/>
                <w:szCs w:val="18"/>
              </w:rPr>
            </w:pPr>
            <w:r w:rsidRPr="0075612C">
              <w:rPr>
                <w:sz w:val="18"/>
                <w:szCs w:val="18"/>
              </w:rPr>
              <w:t>19.1 ± 17.3</w:t>
            </w:r>
            <w:r w:rsidRPr="0075612C">
              <w:rPr>
                <w:sz w:val="18"/>
                <w:szCs w:val="18"/>
                <w:vertAlign w:val="superscript"/>
              </w:rPr>
              <w:t>9</w:t>
            </w:r>
          </w:p>
        </w:tc>
        <w:tc>
          <w:tcPr>
            <w:tcW w:w="851" w:type="dxa"/>
          </w:tcPr>
          <w:p w14:paraId="6939C7F1" w14:textId="44A51615" w:rsidR="00B5416E" w:rsidRPr="0075612C" w:rsidRDefault="00B5416E" w:rsidP="00B5416E">
            <w:pPr>
              <w:rPr>
                <w:sz w:val="18"/>
                <w:szCs w:val="18"/>
              </w:rPr>
            </w:pPr>
            <w:r w:rsidRPr="0075612C">
              <w:rPr>
                <w:sz w:val="18"/>
                <w:szCs w:val="18"/>
              </w:rPr>
              <w:t>18.3 ± 10.1</w:t>
            </w:r>
          </w:p>
        </w:tc>
        <w:tc>
          <w:tcPr>
            <w:tcW w:w="992" w:type="dxa"/>
          </w:tcPr>
          <w:p w14:paraId="68B856FE" w14:textId="0C4CF9BA" w:rsidR="00B5416E" w:rsidRPr="00B5416E" w:rsidRDefault="00B5416E" w:rsidP="00B5416E">
            <w:pPr>
              <w:rPr>
                <w:sz w:val="18"/>
                <w:szCs w:val="18"/>
              </w:rPr>
            </w:pPr>
            <w:r w:rsidRPr="00B5416E">
              <w:rPr>
                <w:sz w:val="18"/>
                <w:szCs w:val="18"/>
              </w:rPr>
              <w:t>n/a</w:t>
            </w:r>
          </w:p>
        </w:tc>
        <w:tc>
          <w:tcPr>
            <w:tcW w:w="567" w:type="dxa"/>
          </w:tcPr>
          <w:p w14:paraId="02EE4470" w14:textId="0014FCBC" w:rsidR="00B5416E" w:rsidRPr="00B5416E" w:rsidRDefault="00B5416E" w:rsidP="00B5416E">
            <w:pPr>
              <w:rPr>
                <w:sz w:val="18"/>
                <w:szCs w:val="18"/>
              </w:rPr>
            </w:pPr>
            <w:r w:rsidRPr="00B5416E">
              <w:rPr>
                <w:sz w:val="18"/>
                <w:szCs w:val="18"/>
              </w:rPr>
              <w:t>n/a</w:t>
            </w:r>
          </w:p>
        </w:tc>
        <w:tc>
          <w:tcPr>
            <w:tcW w:w="992" w:type="dxa"/>
          </w:tcPr>
          <w:p w14:paraId="09C44153" w14:textId="77777777" w:rsidR="00B5416E" w:rsidRPr="001C70D7" w:rsidRDefault="00B5416E" w:rsidP="00B5416E">
            <w:pPr>
              <w:rPr>
                <w:sz w:val="18"/>
                <w:szCs w:val="18"/>
                <w:vertAlign w:val="superscript"/>
                <w:lang w:bidi="ar-SA"/>
              </w:rPr>
            </w:pPr>
            <w:r>
              <w:rPr>
                <w:sz w:val="18"/>
                <w:szCs w:val="18"/>
                <w:lang w:bidi="ar-SA"/>
              </w:rPr>
              <w:t xml:space="preserve">5.1 </w:t>
            </w:r>
            <w:r w:rsidRPr="00E51336">
              <w:rPr>
                <w:rFonts w:cs="Arial"/>
                <w:sz w:val="18"/>
                <w:szCs w:val="18"/>
                <w:lang w:bidi="ar-SA"/>
              </w:rPr>
              <w:t>±</w:t>
            </w:r>
            <w:r>
              <w:rPr>
                <w:rFonts w:cs="Arial"/>
                <w:sz w:val="18"/>
                <w:szCs w:val="18"/>
                <w:lang w:bidi="ar-SA"/>
              </w:rPr>
              <w:t xml:space="preserve"> 2.4</w:t>
            </w:r>
            <w:r>
              <w:rPr>
                <w:rFonts w:cs="Arial"/>
                <w:sz w:val="18"/>
                <w:szCs w:val="18"/>
                <w:vertAlign w:val="superscript"/>
                <w:lang w:bidi="ar-SA"/>
              </w:rPr>
              <w:t>12</w:t>
            </w:r>
          </w:p>
        </w:tc>
        <w:tc>
          <w:tcPr>
            <w:tcW w:w="1134" w:type="dxa"/>
          </w:tcPr>
          <w:p w14:paraId="490ACF51" w14:textId="77777777" w:rsidR="00B5416E" w:rsidRPr="00E51336" w:rsidRDefault="00B5416E" w:rsidP="00B5416E">
            <w:pPr>
              <w:rPr>
                <w:sz w:val="18"/>
                <w:szCs w:val="18"/>
              </w:rPr>
            </w:pPr>
            <w:r>
              <w:rPr>
                <w:sz w:val="18"/>
                <w:szCs w:val="18"/>
              </w:rPr>
              <w:t xml:space="preserve">4.7 </w:t>
            </w:r>
            <w:r w:rsidRPr="00E51336">
              <w:rPr>
                <w:rFonts w:cs="Arial"/>
                <w:sz w:val="18"/>
                <w:szCs w:val="18"/>
                <w:lang w:bidi="ar-SA"/>
              </w:rPr>
              <w:t>±</w:t>
            </w:r>
            <w:r>
              <w:rPr>
                <w:rFonts w:cs="Arial"/>
                <w:sz w:val="18"/>
                <w:szCs w:val="18"/>
                <w:lang w:bidi="ar-SA"/>
              </w:rPr>
              <w:t xml:space="preserve"> 2.8</w:t>
            </w:r>
            <w:r>
              <w:rPr>
                <w:rFonts w:cs="Arial"/>
                <w:sz w:val="18"/>
                <w:szCs w:val="18"/>
                <w:vertAlign w:val="superscript"/>
                <w:lang w:bidi="ar-SA"/>
              </w:rPr>
              <w:t>12</w:t>
            </w:r>
          </w:p>
        </w:tc>
        <w:tc>
          <w:tcPr>
            <w:tcW w:w="851" w:type="dxa"/>
          </w:tcPr>
          <w:p w14:paraId="3EC02FCE" w14:textId="77777777" w:rsidR="00B5416E" w:rsidRPr="00F61BC0" w:rsidRDefault="00B5416E" w:rsidP="00B5416E">
            <w:pPr>
              <w:rPr>
                <w:sz w:val="18"/>
                <w:szCs w:val="18"/>
              </w:rPr>
            </w:pPr>
            <w:r w:rsidRPr="00F61BC0">
              <w:rPr>
                <w:sz w:val="18"/>
                <w:szCs w:val="18"/>
              </w:rPr>
              <w:t>n/a</w:t>
            </w:r>
          </w:p>
        </w:tc>
        <w:tc>
          <w:tcPr>
            <w:tcW w:w="567" w:type="dxa"/>
          </w:tcPr>
          <w:p w14:paraId="6DF6D723" w14:textId="77777777" w:rsidR="00B5416E" w:rsidRDefault="00B5416E" w:rsidP="00B5416E">
            <w:pPr>
              <w:rPr>
                <w:sz w:val="18"/>
                <w:szCs w:val="18"/>
              </w:rPr>
            </w:pPr>
            <w:r w:rsidRPr="00991A9C">
              <w:rPr>
                <w:sz w:val="18"/>
                <w:szCs w:val="18"/>
              </w:rPr>
              <w:t>n/a</w:t>
            </w:r>
          </w:p>
        </w:tc>
      </w:tr>
      <w:tr w:rsidR="00B5416E" w:rsidRPr="00AB00B0" w14:paraId="40481A9F" w14:textId="77777777" w:rsidTr="00AE37C2">
        <w:trPr>
          <w:trHeight w:val="451"/>
        </w:trPr>
        <w:tc>
          <w:tcPr>
            <w:tcW w:w="1118" w:type="dxa"/>
            <w:vMerge/>
          </w:tcPr>
          <w:p w14:paraId="20217A0E" w14:textId="77777777" w:rsidR="00B5416E" w:rsidRDefault="00B5416E" w:rsidP="00B5416E">
            <w:pPr>
              <w:rPr>
                <w:sz w:val="18"/>
                <w:szCs w:val="18"/>
                <w:lang w:bidi="ar-SA"/>
              </w:rPr>
            </w:pPr>
          </w:p>
        </w:tc>
        <w:tc>
          <w:tcPr>
            <w:tcW w:w="843" w:type="dxa"/>
          </w:tcPr>
          <w:p w14:paraId="3F542CE0" w14:textId="77777777" w:rsidR="00B5416E" w:rsidRPr="00991A9C" w:rsidRDefault="00B5416E" w:rsidP="00B5416E">
            <w:pPr>
              <w:rPr>
                <w:sz w:val="18"/>
                <w:szCs w:val="18"/>
              </w:rPr>
            </w:pPr>
            <w:r w:rsidRPr="0040116E">
              <w:rPr>
                <w:sz w:val="18"/>
                <w:szCs w:val="18"/>
              </w:rPr>
              <w:t>15.0</w:t>
            </w:r>
          </w:p>
        </w:tc>
        <w:tc>
          <w:tcPr>
            <w:tcW w:w="869" w:type="dxa"/>
          </w:tcPr>
          <w:p w14:paraId="1B4A5349" w14:textId="77777777" w:rsidR="00B5416E" w:rsidRPr="00E51336" w:rsidRDefault="00B5416E" w:rsidP="00B5416E">
            <w:pPr>
              <w:rPr>
                <w:sz w:val="18"/>
                <w:szCs w:val="18"/>
              </w:rPr>
            </w:pPr>
            <w:r w:rsidRPr="00E51336">
              <w:rPr>
                <w:sz w:val="18"/>
                <w:szCs w:val="18"/>
                <w:lang w:bidi="ar-SA"/>
              </w:rPr>
              <w:t xml:space="preserve">6.0 </w:t>
            </w:r>
            <w:r w:rsidRPr="00E51336">
              <w:rPr>
                <w:rFonts w:cs="Arial"/>
                <w:sz w:val="18"/>
                <w:szCs w:val="18"/>
                <w:lang w:bidi="ar-SA"/>
              </w:rPr>
              <w:t>±</w:t>
            </w:r>
            <w:r>
              <w:rPr>
                <w:rFonts w:cs="Arial"/>
                <w:sz w:val="18"/>
                <w:szCs w:val="18"/>
                <w:lang w:bidi="ar-SA"/>
              </w:rPr>
              <w:t xml:space="preserve"> 0.5</w:t>
            </w:r>
          </w:p>
        </w:tc>
        <w:tc>
          <w:tcPr>
            <w:tcW w:w="851" w:type="dxa"/>
          </w:tcPr>
          <w:p w14:paraId="0D69DD0E" w14:textId="77777777" w:rsidR="00B5416E" w:rsidRPr="00E51336" w:rsidRDefault="00B5416E" w:rsidP="00B5416E">
            <w:pPr>
              <w:rPr>
                <w:sz w:val="18"/>
                <w:szCs w:val="18"/>
              </w:rPr>
            </w:pPr>
            <w:r w:rsidRPr="00E51336">
              <w:rPr>
                <w:sz w:val="18"/>
                <w:szCs w:val="18"/>
                <w:lang w:bidi="ar-SA"/>
              </w:rPr>
              <w:t xml:space="preserve">6.0 </w:t>
            </w:r>
            <w:r w:rsidRPr="00E51336">
              <w:rPr>
                <w:rFonts w:cs="Arial"/>
                <w:sz w:val="18"/>
                <w:szCs w:val="18"/>
                <w:lang w:bidi="ar-SA"/>
              </w:rPr>
              <w:t>±</w:t>
            </w:r>
            <w:r>
              <w:rPr>
                <w:rFonts w:cs="Arial"/>
                <w:sz w:val="18"/>
                <w:szCs w:val="18"/>
                <w:lang w:bidi="ar-SA"/>
              </w:rPr>
              <w:t xml:space="preserve"> 0.5</w:t>
            </w:r>
          </w:p>
        </w:tc>
        <w:tc>
          <w:tcPr>
            <w:tcW w:w="1134" w:type="dxa"/>
          </w:tcPr>
          <w:p w14:paraId="31522B24" w14:textId="77777777" w:rsidR="00B5416E" w:rsidRPr="004444CF" w:rsidRDefault="00B5416E" w:rsidP="00B5416E">
            <w:pPr>
              <w:rPr>
                <w:sz w:val="18"/>
                <w:szCs w:val="18"/>
              </w:rPr>
            </w:pPr>
            <w:r w:rsidRPr="004444CF">
              <w:rPr>
                <w:sz w:val="18"/>
                <w:szCs w:val="18"/>
              </w:rPr>
              <w:t>0.</w:t>
            </w:r>
            <w:r w:rsidRPr="004444CF">
              <w:rPr>
                <w:sz w:val="18"/>
                <w:szCs w:val="18"/>
                <w:lang w:bidi="ar-SA"/>
              </w:rPr>
              <w:t xml:space="preserve">0 </w:t>
            </w:r>
            <w:r w:rsidRPr="006A6EE9">
              <w:rPr>
                <w:rFonts w:cs="Arial"/>
                <w:sz w:val="18"/>
                <w:szCs w:val="18"/>
                <w:lang w:bidi="ar-SA"/>
              </w:rPr>
              <w:t>± 0.1</w:t>
            </w:r>
          </w:p>
        </w:tc>
        <w:tc>
          <w:tcPr>
            <w:tcW w:w="567" w:type="dxa"/>
          </w:tcPr>
          <w:p w14:paraId="384DE1BD" w14:textId="77777777" w:rsidR="00B5416E" w:rsidRPr="00E51336" w:rsidRDefault="00B5416E" w:rsidP="00B5416E">
            <w:pPr>
              <w:rPr>
                <w:sz w:val="18"/>
                <w:szCs w:val="18"/>
              </w:rPr>
            </w:pPr>
            <w:r>
              <w:rPr>
                <w:sz w:val="18"/>
                <w:szCs w:val="18"/>
              </w:rPr>
              <w:t>0.79</w:t>
            </w:r>
          </w:p>
        </w:tc>
        <w:tc>
          <w:tcPr>
            <w:tcW w:w="992" w:type="dxa"/>
          </w:tcPr>
          <w:p w14:paraId="1ED9EB73" w14:textId="219D900B" w:rsidR="00B5416E" w:rsidRPr="00B5416E" w:rsidRDefault="00B5416E" w:rsidP="00B5416E">
            <w:pPr>
              <w:rPr>
                <w:sz w:val="18"/>
                <w:szCs w:val="18"/>
              </w:rPr>
            </w:pPr>
            <w:r w:rsidRPr="00B5416E">
              <w:rPr>
                <w:sz w:val="18"/>
                <w:szCs w:val="18"/>
                <w:lang w:bidi="ar-SA"/>
              </w:rPr>
              <w:t xml:space="preserve">5.6 </w:t>
            </w:r>
            <w:r w:rsidRPr="00B5416E">
              <w:rPr>
                <w:rFonts w:cs="Arial"/>
                <w:sz w:val="18"/>
                <w:szCs w:val="18"/>
                <w:lang w:bidi="ar-SA"/>
              </w:rPr>
              <w:t>±</w:t>
            </w:r>
            <w:r w:rsidRPr="00B5416E">
              <w:rPr>
                <w:sz w:val="18"/>
                <w:szCs w:val="18"/>
              </w:rPr>
              <w:t xml:space="preserve"> 0.3</w:t>
            </w:r>
          </w:p>
        </w:tc>
        <w:tc>
          <w:tcPr>
            <w:tcW w:w="851" w:type="dxa"/>
          </w:tcPr>
          <w:p w14:paraId="292A61D0" w14:textId="3C824B3C" w:rsidR="00B5416E" w:rsidRPr="00B5416E" w:rsidRDefault="00B5416E" w:rsidP="00B5416E">
            <w:pPr>
              <w:rPr>
                <w:sz w:val="18"/>
                <w:szCs w:val="18"/>
              </w:rPr>
            </w:pPr>
            <w:r w:rsidRPr="00B5416E">
              <w:rPr>
                <w:sz w:val="18"/>
                <w:szCs w:val="18"/>
              </w:rPr>
              <w:t>n/a</w:t>
            </w:r>
          </w:p>
        </w:tc>
        <w:tc>
          <w:tcPr>
            <w:tcW w:w="992" w:type="dxa"/>
          </w:tcPr>
          <w:p w14:paraId="59F72388" w14:textId="5A4B0A22" w:rsidR="00B5416E" w:rsidRPr="00B5416E" w:rsidRDefault="00B5416E" w:rsidP="00B5416E">
            <w:pPr>
              <w:rPr>
                <w:sz w:val="18"/>
                <w:szCs w:val="18"/>
                <w:vertAlign w:val="superscript"/>
              </w:rPr>
            </w:pPr>
            <w:r w:rsidRPr="00B5416E">
              <w:rPr>
                <w:sz w:val="18"/>
                <w:szCs w:val="18"/>
              </w:rPr>
              <w:t>n/a</w:t>
            </w:r>
          </w:p>
        </w:tc>
        <w:tc>
          <w:tcPr>
            <w:tcW w:w="567" w:type="dxa"/>
          </w:tcPr>
          <w:p w14:paraId="791AF05E" w14:textId="5E33520E" w:rsidR="00B5416E" w:rsidRPr="00B5416E" w:rsidRDefault="00B5416E" w:rsidP="00B5416E">
            <w:pPr>
              <w:rPr>
                <w:sz w:val="18"/>
                <w:szCs w:val="18"/>
              </w:rPr>
            </w:pPr>
            <w:r w:rsidRPr="00B5416E">
              <w:rPr>
                <w:sz w:val="18"/>
                <w:szCs w:val="18"/>
              </w:rPr>
              <w:t>n/a</w:t>
            </w:r>
          </w:p>
        </w:tc>
        <w:tc>
          <w:tcPr>
            <w:tcW w:w="850" w:type="dxa"/>
          </w:tcPr>
          <w:p w14:paraId="19844FCB" w14:textId="4030798F" w:rsidR="00B5416E" w:rsidRPr="0075612C" w:rsidRDefault="00B5416E" w:rsidP="00B5416E">
            <w:pPr>
              <w:rPr>
                <w:sz w:val="18"/>
                <w:szCs w:val="18"/>
              </w:rPr>
            </w:pPr>
            <w:r w:rsidRPr="0075612C">
              <w:rPr>
                <w:sz w:val="18"/>
                <w:szCs w:val="18"/>
              </w:rPr>
              <w:t xml:space="preserve">20.7 </w:t>
            </w:r>
            <w:r w:rsidRPr="0075612C">
              <w:rPr>
                <w:rFonts w:cs="Arial"/>
                <w:sz w:val="18"/>
                <w:szCs w:val="18"/>
                <w:lang w:bidi="ar-SA"/>
              </w:rPr>
              <w:t>± 8.8</w:t>
            </w:r>
            <w:r w:rsidRPr="0075612C">
              <w:rPr>
                <w:rFonts w:cs="Arial"/>
                <w:sz w:val="18"/>
                <w:szCs w:val="18"/>
                <w:vertAlign w:val="superscript"/>
                <w:lang w:bidi="ar-SA"/>
              </w:rPr>
              <w:t>9</w:t>
            </w:r>
          </w:p>
        </w:tc>
        <w:tc>
          <w:tcPr>
            <w:tcW w:w="851" w:type="dxa"/>
          </w:tcPr>
          <w:p w14:paraId="03F5EC27" w14:textId="1EB444CF" w:rsidR="00B5416E" w:rsidRPr="0075612C" w:rsidRDefault="00B5416E" w:rsidP="00B5416E">
            <w:pPr>
              <w:rPr>
                <w:sz w:val="18"/>
                <w:szCs w:val="18"/>
              </w:rPr>
            </w:pPr>
            <w:r w:rsidRPr="0075612C">
              <w:rPr>
                <w:sz w:val="18"/>
                <w:szCs w:val="18"/>
              </w:rPr>
              <w:t xml:space="preserve">18.9 </w:t>
            </w:r>
            <w:r w:rsidRPr="0075612C">
              <w:rPr>
                <w:rFonts w:cs="Arial"/>
                <w:sz w:val="18"/>
                <w:szCs w:val="18"/>
                <w:lang w:bidi="ar-SA"/>
              </w:rPr>
              <w:t>± 8.3</w:t>
            </w:r>
          </w:p>
        </w:tc>
        <w:tc>
          <w:tcPr>
            <w:tcW w:w="992" w:type="dxa"/>
          </w:tcPr>
          <w:p w14:paraId="0C7139A3" w14:textId="04C082DC" w:rsidR="00B5416E" w:rsidRPr="00B5416E" w:rsidRDefault="00B5416E" w:rsidP="00B5416E">
            <w:pPr>
              <w:rPr>
                <w:sz w:val="18"/>
                <w:szCs w:val="18"/>
              </w:rPr>
            </w:pPr>
            <w:r w:rsidRPr="00B5416E">
              <w:rPr>
                <w:sz w:val="18"/>
                <w:szCs w:val="18"/>
              </w:rPr>
              <w:t>-1.0</w:t>
            </w:r>
            <w:r w:rsidRPr="00B5416E">
              <w:rPr>
                <w:sz w:val="18"/>
                <w:szCs w:val="18"/>
                <w:lang w:bidi="ar-SA"/>
              </w:rPr>
              <w:t xml:space="preserve"> </w:t>
            </w:r>
            <w:r w:rsidRPr="00B5416E">
              <w:rPr>
                <w:rFonts w:cs="Arial"/>
                <w:sz w:val="18"/>
                <w:szCs w:val="18"/>
                <w:lang w:bidi="ar-SA"/>
              </w:rPr>
              <w:t>± 3.3</w:t>
            </w:r>
            <w:r w:rsidRPr="00B5416E">
              <w:rPr>
                <w:rFonts w:cs="Arial"/>
                <w:sz w:val="18"/>
                <w:szCs w:val="18"/>
                <w:vertAlign w:val="superscript"/>
                <w:lang w:bidi="ar-SA"/>
              </w:rPr>
              <w:t>11</w:t>
            </w:r>
          </w:p>
        </w:tc>
        <w:tc>
          <w:tcPr>
            <w:tcW w:w="567" w:type="dxa"/>
          </w:tcPr>
          <w:p w14:paraId="6EBCCECB" w14:textId="6868D43D" w:rsidR="00B5416E" w:rsidRPr="00B5416E" w:rsidRDefault="00B5416E" w:rsidP="00B5416E">
            <w:pPr>
              <w:rPr>
                <w:sz w:val="18"/>
                <w:szCs w:val="18"/>
              </w:rPr>
            </w:pPr>
            <w:r w:rsidRPr="00B5416E">
              <w:rPr>
                <w:sz w:val="18"/>
                <w:szCs w:val="18"/>
              </w:rPr>
              <w:t>0.71</w:t>
            </w:r>
          </w:p>
        </w:tc>
        <w:tc>
          <w:tcPr>
            <w:tcW w:w="992" w:type="dxa"/>
          </w:tcPr>
          <w:p w14:paraId="5C5644DF" w14:textId="77777777" w:rsidR="00B5416E" w:rsidRPr="001C70D7" w:rsidRDefault="00B5416E" w:rsidP="00B5416E">
            <w:pPr>
              <w:rPr>
                <w:sz w:val="18"/>
                <w:szCs w:val="18"/>
                <w:vertAlign w:val="superscript"/>
                <w:lang w:bidi="ar-SA"/>
              </w:rPr>
            </w:pPr>
            <w:r>
              <w:rPr>
                <w:sz w:val="18"/>
                <w:szCs w:val="18"/>
                <w:lang w:bidi="ar-SA"/>
              </w:rPr>
              <w:t xml:space="preserve">5.2 </w:t>
            </w:r>
            <w:r w:rsidRPr="00E51336">
              <w:rPr>
                <w:rFonts w:cs="Arial"/>
                <w:sz w:val="18"/>
                <w:szCs w:val="18"/>
                <w:lang w:bidi="ar-SA"/>
              </w:rPr>
              <w:t>±</w:t>
            </w:r>
            <w:r>
              <w:rPr>
                <w:rFonts w:cs="Arial"/>
                <w:sz w:val="18"/>
                <w:szCs w:val="18"/>
                <w:lang w:bidi="ar-SA"/>
              </w:rPr>
              <w:t xml:space="preserve"> 2.6</w:t>
            </w:r>
            <w:r>
              <w:rPr>
                <w:rFonts w:cs="Arial"/>
                <w:sz w:val="18"/>
                <w:szCs w:val="18"/>
                <w:vertAlign w:val="superscript"/>
                <w:lang w:bidi="ar-SA"/>
              </w:rPr>
              <w:t>12</w:t>
            </w:r>
          </w:p>
        </w:tc>
        <w:tc>
          <w:tcPr>
            <w:tcW w:w="1134" w:type="dxa"/>
          </w:tcPr>
          <w:p w14:paraId="749CF40D" w14:textId="77777777" w:rsidR="00B5416E" w:rsidRPr="007C69A8" w:rsidRDefault="00B5416E" w:rsidP="00B5416E">
            <w:pPr>
              <w:rPr>
                <w:sz w:val="18"/>
                <w:szCs w:val="18"/>
                <w:highlight w:val="green"/>
              </w:rPr>
            </w:pPr>
            <w:r w:rsidRPr="000E1F7A">
              <w:rPr>
                <w:sz w:val="18"/>
                <w:szCs w:val="18"/>
              </w:rPr>
              <w:t>5.3</w:t>
            </w:r>
            <w:r>
              <w:rPr>
                <w:sz w:val="18"/>
                <w:szCs w:val="18"/>
              </w:rPr>
              <w:t xml:space="preserve"> </w:t>
            </w:r>
            <w:r w:rsidRPr="000E1F7A">
              <w:rPr>
                <w:rFonts w:cs="Arial"/>
                <w:sz w:val="18"/>
                <w:szCs w:val="18"/>
                <w:lang w:bidi="ar-SA"/>
              </w:rPr>
              <w:t>± 3.4</w:t>
            </w:r>
            <w:r w:rsidRPr="000E1F7A">
              <w:rPr>
                <w:rFonts w:cs="Arial"/>
                <w:sz w:val="18"/>
                <w:szCs w:val="18"/>
                <w:vertAlign w:val="superscript"/>
                <w:lang w:bidi="ar-SA"/>
              </w:rPr>
              <w:t>12</w:t>
            </w:r>
          </w:p>
        </w:tc>
        <w:tc>
          <w:tcPr>
            <w:tcW w:w="851" w:type="dxa"/>
          </w:tcPr>
          <w:p w14:paraId="444B9D25" w14:textId="77777777" w:rsidR="00B5416E" w:rsidRPr="00F61BC0" w:rsidRDefault="00B5416E" w:rsidP="00B5416E">
            <w:pPr>
              <w:rPr>
                <w:sz w:val="18"/>
                <w:szCs w:val="18"/>
              </w:rPr>
            </w:pPr>
            <w:r w:rsidRPr="00F61BC0">
              <w:rPr>
                <w:sz w:val="18"/>
                <w:szCs w:val="18"/>
              </w:rPr>
              <w:t xml:space="preserve">0.5 </w:t>
            </w:r>
            <w:r w:rsidRPr="00F61BC0">
              <w:rPr>
                <w:rFonts w:cs="Arial"/>
                <w:sz w:val="18"/>
                <w:szCs w:val="18"/>
                <w:lang w:bidi="ar-SA"/>
              </w:rPr>
              <w:t>± 0.8</w:t>
            </w:r>
          </w:p>
        </w:tc>
        <w:tc>
          <w:tcPr>
            <w:tcW w:w="567" w:type="dxa"/>
          </w:tcPr>
          <w:p w14:paraId="23D86930" w14:textId="77777777" w:rsidR="00B5416E" w:rsidRDefault="00B5416E" w:rsidP="00B5416E">
            <w:pPr>
              <w:rPr>
                <w:sz w:val="18"/>
                <w:szCs w:val="18"/>
              </w:rPr>
            </w:pPr>
            <w:r>
              <w:rPr>
                <w:sz w:val="18"/>
                <w:szCs w:val="18"/>
              </w:rPr>
              <w:t>0.598</w:t>
            </w:r>
          </w:p>
        </w:tc>
      </w:tr>
    </w:tbl>
    <w:p w14:paraId="3CE97E56" w14:textId="44470277" w:rsidR="0028062D" w:rsidRPr="00FE2DE4" w:rsidRDefault="0028062D" w:rsidP="0028062D">
      <w:pPr>
        <w:rPr>
          <w:strike/>
          <w:sz w:val="18"/>
          <w:szCs w:val="18"/>
        </w:rPr>
      </w:pPr>
      <w:r w:rsidRPr="00556FC5">
        <w:rPr>
          <w:sz w:val="18"/>
          <w:szCs w:val="18"/>
        </w:rPr>
        <w:t>GOS, galacto-oligosaccharide; g, gram;</w:t>
      </w:r>
      <w:r w:rsidR="002D63C5">
        <w:rPr>
          <w:sz w:val="18"/>
          <w:szCs w:val="18"/>
        </w:rPr>
        <w:t xml:space="preserve"> </w:t>
      </w:r>
      <w:r w:rsidR="002D63C5" w:rsidRPr="008D35ED">
        <w:rPr>
          <w:sz w:val="18"/>
          <w:szCs w:val="18"/>
        </w:rPr>
        <w:t>L, litre;</w:t>
      </w:r>
      <w:r w:rsidRPr="00556FC5">
        <w:rPr>
          <w:sz w:val="18"/>
          <w:szCs w:val="18"/>
        </w:rPr>
        <w:t xml:space="preserve"> n/a, not applicable</w:t>
      </w:r>
      <w:r w:rsidRPr="003430A7">
        <w:rPr>
          <w:sz w:val="18"/>
          <w:szCs w:val="18"/>
        </w:rPr>
        <w:t xml:space="preserve"> </w:t>
      </w:r>
      <w:r>
        <w:rPr>
          <w:sz w:val="18"/>
          <w:szCs w:val="18"/>
        </w:rPr>
        <w:t>or not available</w:t>
      </w:r>
      <w:r w:rsidRPr="00E44B71">
        <w:rPr>
          <w:sz w:val="18"/>
          <w:szCs w:val="18"/>
        </w:rPr>
        <w:t>; SD, standard deviati</w:t>
      </w:r>
      <w:r w:rsidRPr="006B641D">
        <w:rPr>
          <w:sz w:val="18"/>
          <w:szCs w:val="18"/>
        </w:rPr>
        <w:t xml:space="preserve">on; </w:t>
      </w:r>
      <w:r>
        <w:rPr>
          <w:sz w:val="18"/>
          <w:szCs w:val="18"/>
        </w:rPr>
        <w:t>SE</w:t>
      </w:r>
      <w:r w:rsidRPr="00E44B71">
        <w:rPr>
          <w:sz w:val="18"/>
          <w:szCs w:val="18"/>
        </w:rPr>
        <w:t>, standard error of the mean;</w:t>
      </w:r>
      <w:r>
        <w:rPr>
          <w:sz w:val="18"/>
          <w:szCs w:val="18"/>
        </w:rPr>
        <w:t xml:space="preserve"> </w:t>
      </w:r>
      <w:r w:rsidRPr="006B641D">
        <w:rPr>
          <w:sz w:val="18"/>
          <w:szCs w:val="18"/>
        </w:rPr>
        <w:t>NSD,</w:t>
      </w:r>
      <w:r>
        <w:rPr>
          <w:sz w:val="18"/>
          <w:szCs w:val="18"/>
        </w:rPr>
        <w:t xml:space="preserve"> not significantly different (</w:t>
      </w:r>
      <w:r>
        <w:rPr>
          <w:i/>
          <w:sz w:val="18"/>
          <w:szCs w:val="18"/>
        </w:rPr>
        <w:t>P</w:t>
      </w:r>
      <w:r>
        <w:rPr>
          <w:sz w:val="18"/>
          <w:szCs w:val="18"/>
        </w:rPr>
        <w:t>&gt;0.05</w:t>
      </w:r>
      <w:r>
        <w:rPr>
          <w:sz w:val="18"/>
          <w:szCs w:val="18"/>
          <w:vertAlign w:val="superscript"/>
        </w:rPr>
        <w:t>8</w:t>
      </w:r>
      <w:r>
        <w:rPr>
          <w:sz w:val="18"/>
          <w:szCs w:val="18"/>
        </w:rPr>
        <w:t xml:space="preserve">); </w:t>
      </w:r>
      <w:r w:rsidRPr="00B262FD">
        <w:rPr>
          <w:rFonts w:cs="Arial"/>
          <w:sz w:val="18"/>
          <w:szCs w:val="18"/>
        </w:rPr>
        <w:t>Hb</w:t>
      </w:r>
      <w:r w:rsidRPr="00134B34">
        <w:rPr>
          <w:rFonts w:cs="Arial"/>
          <w:sz w:val="18"/>
          <w:szCs w:val="18"/>
        </w:rPr>
        <w:t>A</w:t>
      </w:r>
      <w:r w:rsidRPr="00134B34">
        <w:rPr>
          <w:rFonts w:cs="Arial"/>
          <w:sz w:val="18"/>
          <w:szCs w:val="18"/>
          <w:vertAlign w:val="subscript"/>
        </w:rPr>
        <w:t>1c</w:t>
      </w:r>
      <w:r w:rsidRPr="00B262FD">
        <w:rPr>
          <w:rFonts w:cs="Arial"/>
          <w:sz w:val="18"/>
          <w:szCs w:val="18"/>
        </w:rPr>
        <w:t>, glycosylated haemoglobin; HOMA-IR, homeostatic model a</w:t>
      </w:r>
      <w:r w:rsidR="00CD4435">
        <w:rPr>
          <w:rFonts w:cs="Arial"/>
          <w:sz w:val="18"/>
          <w:szCs w:val="18"/>
        </w:rPr>
        <w:t>ssessment of insulin resistance.</w:t>
      </w:r>
    </w:p>
    <w:p w14:paraId="64A07C69" w14:textId="02DBA209" w:rsidR="0028062D" w:rsidRDefault="005A3302" w:rsidP="0028062D">
      <w:pPr>
        <w:rPr>
          <w:sz w:val="18"/>
          <w:szCs w:val="18"/>
          <w:lang w:bidi="ar-SA"/>
        </w:rPr>
      </w:pPr>
      <w:r>
        <w:rPr>
          <w:sz w:val="18"/>
          <w:szCs w:val="18"/>
          <w:vertAlign w:val="superscript"/>
          <w:lang w:bidi="ar-SA"/>
        </w:rPr>
        <w:t>1</w:t>
      </w:r>
      <w:r w:rsidR="0028062D">
        <w:rPr>
          <w:sz w:val="18"/>
          <w:szCs w:val="18"/>
          <w:lang w:bidi="ar-SA"/>
        </w:rPr>
        <w:t xml:space="preserve"> </w:t>
      </w:r>
      <w:r w:rsidR="0028062D" w:rsidRPr="00550B8B">
        <w:rPr>
          <w:sz w:val="18"/>
          <w:szCs w:val="18"/>
          <w:lang w:bidi="ar-SA"/>
        </w:rPr>
        <w:t>Fasting</w:t>
      </w:r>
      <w:r w:rsidR="0028062D" w:rsidRPr="00ED1C9E">
        <w:rPr>
          <w:sz w:val="18"/>
          <w:szCs w:val="18"/>
          <w:lang w:bidi="ar-SA"/>
        </w:rPr>
        <w:t xml:space="preserve"> status</w:t>
      </w:r>
      <w:r w:rsidR="0028062D">
        <w:rPr>
          <w:sz w:val="18"/>
          <w:szCs w:val="18"/>
          <w:lang w:bidi="ar-SA"/>
        </w:rPr>
        <w:t xml:space="preserve"> (glucose and insulin)</w:t>
      </w:r>
      <w:r w:rsidR="0028062D" w:rsidRPr="00ED1C9E">
        <w:rPr>
          <w:sz w:val="18"/>
          <w:szCs w:val="18"/>
          <w:lang w:bidi="ar-SA"/>
        </w:rPr>
        <w:t>: fasting (van Dokkum et al. 1999</w:t>
      </w:r>
      <w:r w:rsidR="0028062D">
        <w:rPr>
          <w:sz w:val="18"/>
          <w:szCs w:val="18"/>
          <w:lang w:bidi="ar-SA"/>
        </w:rPr>
        <w:t xml:space="preserve">, Canfora et al. 2017, and </w:t>
      </w:r>
      <w:r w:rsidR="00A407D3">
        <w:rPr>
          <w:sz w:val="18"/>
          <w:szCs w:val="18"/>
          <w:lang w:bidi="ar-SA"/>
        </w:rPr>
        <w:t>Pedersen</w:t>
      </w:r>
      <w:r w:rsidR="0028062D">
        <w:rPr>
          <w:sz w:val="18"/>
          <w:szCs w:val="18"/>
          <w:lang w:bidi="ar-SA"/>
        </w:rPr>
        <w:t xml:space="preserve"> et al. 2016</w:t>
      </w:r>
      <w:r w:rsidR="0028062D" w:rsidRPr="00C219F8">
        <w:rPr>
          <w:sz w:val="18"/>
          <w:szCs w:val="18"/>
          <w:lang w:bidi="ar-SA"/>
        </w:rPr>
        <w:t xml:space="preserve">), and </w:t>
      </w:r>
      <w:r w:rsidR="006F1FFE">
        <w:rPr>
          <w:sz w:val="18"/>
          <w:szCs w:val="18"/>
          <w:lang w:bidi="ar-SA"/>
        </w:rPr>
        <w:t>assumed to be fasting</w:t>
      </w:r>
      <w:r w:rsidR="006F1FFE" w:rsidRPr="008D35ED">
        <w:rPr>
          <w:sz w:val="18"/>
          <w:szCs w:val="18"/>
          <w:lang w:bidi="ar-SA"/>
        </w:rPr>
        <w:t xml:space="preserve"> </w:t>
      </w:r>
      <w:r w:rsidR="0028062D" w:rsidRPr="00C219F8">
        <w:rPr>
          <w:sz w:val="18"/>
          <w:szCs w:val="18"/>
          <w:lang w:bidi="ar-SA"/>
        </w:rPr>
        <w:t>(Vulevic</w:t>
      </w:r>
      <w:r w:rsidR="0028062D" w:rsidRPr="00ED1C9E">
        <w:rPr>
          <w:sz w:val="18"/>
          <w:szCs w:val="18"/>
          <w:lang w:bidi="ar-SA"/>
        </w:rPr>
        <w:t xml:space="preserve"> et al. 2013)</w:t>
      </w:r>
      <w:r w:rsidR="0028062D">
        <w:rPr>
          <w:sz w:val="18"/>
          <w:szCs w:val="18"/>
          <w:lang w:bidi="ar-SA"/>
        </w:rPr>
        <w:t>.</w:t>
      </w:r>
    </w:p>
    <w:p w14:paraId="7BD1B9CF" w14:textId="4A42C61A" w:rsidR="0028062D" w:rsidRPr="008D35ED" w:rsidRDefault="005A3302" w:rsidP="0028062D">
      <w:pPr>
        <w:rPr>
          <w:sz w:val="18"/>
          <w:szCs w:val="18"/>
        </w:rPr>
      </w:pPr>
      <w:r>
        <w:rPr>
          <w:sz w:val="18"/>
          <w:szCs w:val="18"/>
          <w:vertAlign w:val="superscript"/>
        </w:rPr>
        <w:t>2</w:t>
      </w:r>
      <w:r w:rsidR="0028062D">
        <w:rPr>
          <w:sz w:val="18"/>
          <w:szCs w:val="18"/>
        </w:rPr>
        <w:t xml:space="preserve"> Units of measurement </w:t>
      </w:r>
      <w:r w:rsidR="0028062D" w:rsidRPr="008D35ED">
        <w:rPr>
          <w:sz w:val="18"/>
          <w:szCs w:val="18"/>
        </w:rPr>
        <w:t xml:space="preserve">are not stated for Canfora et al. (2017) and are ‘%’ for </w:t>
      </w:r>
      <w:r w:rsidR="00A407D3">
        <w:rPr>
          <w:sz w:val="18"/>
          <w:szCs w:val="18"/>
        </w:rPr>
        <w:t>Pedersen</w:t>
      </w:r>
      <w:r w:rsidR="0028062D" w:rsidRPr="008D35ED">
        <w:rPr>
          <w:sz w:val="18"/>
          <w:szCs w:val="18"/>
        </w:rPr>
        <w:t xml:space="preserve"> et al. (2016).</w:t>
      </w:r>
    </w:p>
    <w:p w14:paraId="37D22918" w14:textId="290169D7" w:rsidR="0028062D" w:rsidRPr="00B30119" w:rsidRDefault="005A3302" w:rsidP="0028062D">
      <w:pPr>
        <w:rPr>
          <w:sz w:val="18"/>
          <w:szCs w:val="18"/>
        </w:rPr>
      </w:pPr>
      <w:r>
        <w:rPr>
          <w:sz w:val="18"/>
          <w:szCs w:val="18"/>
          <w:vertAlign w:val="superscript"/>
        </w:rPr>
        <w:t>3</w:t>
      </w:r>
      <w:r w:rsidR="0028062D" w:rsidRPr="008D35ED">
        <w:rPr>
          <w:sz w:val="18"/>
          <w:szCs w:val="18"/>
          <w:vertAlign w:val="superscript"/>
        </w:rPr>
        <w:t xml:space="preserve"> </w:t>
      </w:r>
      <w:r w:rsidR="0028062D" w:rsidRPr="008D35ED">
        <w:rPr>
          <w:sz w:val="18"/>
          <w:szCs w:val="18"/>
        </w:rPr>
        <w:t xml:space="preserve">SD for </w:t>
      </w:r>
      <w:r w:rsidR="0028062D" w:rsidRPr="008D35ED">
        <w:rPr>
          <w:sz w:val="18"/>
          <w:szCs w:val="18"/>
          <w:lang w:bidi="ar-SA"/>
        </w:rPr>
        <w:t>van Dokkum et al.</w:t>
      </w:r>
      <w:r w:rsidR="0028062D">
        <w:rPr>
          <w:sz w:val="18"/>
          <w:szCs w:val="18"/>
          <w:lang w:bidi="ar-SA"/>
        </w:rPr>
        <w:t xml:space="preserve"> 1999, </w:t>
      </w:r>
      <w:r w:rsidR="0028062D" w:rsidRPr="00ED1C9E">
        <w:rPr>
          <w:sz w:val="18"/>
          <w:szCs w:val="18"/>
          <w:lang w:bidi="ar-SA"/>
        </w:rPr>
        <w:t>Vulevic et al. 2013</w:t>
      </w:r>
      <w:r w:rsidR="0028062D">
        <w:rPr>
          <w:sz w:val="18"/>
          <w:szCs w:val="18"/>
          <w:lang w:bidi="ar-SA"/>
        </w:rPr>
        <w:t xml:space="preserve">, and Canfora et al. 2017, for all outcomes. </w:t>
      </w:r>
      <w:r w:rsidR="00A407D3">
        <w:rPr>
          <w:sz w:val="18"/>
          <w:szCs w:val="18"/>
        </w:rPr>
        <w:t>Pedersen</w:t>
      </w:r>
      <w:r w:rsidR="0028062D" w:rsidRPr="00CF25EA">
        <w:rPr>
          <w:sz w:val="18"/>
          <w:szCs w:val="18"/>
        </w:rPr>
        <w:t xml:space="preserve"> et al. (2016)</w:t>
      </w:r>
      <w:r w:rsidR="0028062D">
        <w:rPr>
          <w:sz w:val="18"/>
          <w:szCs w:val="18"/>
        </w:rPr>
        <w:t xml:space="preserve"> uses SE</w:t>
      </w:r>
      <w:r w:rsidR="0028062D" w:rsidRPr="00CF25EA">
        <w:rPr>
          <w:sz w:val="18"/>
          <w:szCs w:val="18"/>
        </w:rPr>
        <w:t xml:space="preserve"> </w:t>
      </w:r>
      <w:r w:rsidR="0028062D">
        <w:rPr>
          <w:sz w:val="18"/>
          <w:szCs w:val="18"/>
        </w:rPr>
        <w:t>for glucose, insulin, and Hb</w:t>
      </w:r>
      <w:r w:rsidR="0028062D" w:rsidRPr="00134B34">
        <w:rPr>
          <w:sz w:val="18"/>
          <w:szCs w:val="18"/>
        </w:rPr>
        <w:t>A</w:t>
      </w:r>
      <w:r w:rsidR="0028062D" w:rsidRPr="00134B34">
        <w:rPr>
          <w:sz w:val="18"/>
          <w:szCs w:val="18"/>
          <w:vertAlign w:val="subscript"/>
        </w:rPr>
        <w:t>1c</w:t>
      </w:r>
      <w:r w:rsidR="0028062D">
        <w:rPr>
          <w:sz w:val="18"/>
          <w:szCs w:val="18"/>
        </w:rPr>
        <w:t xml:space="preserve"> outcomes. </w:t>
      </w:r>
      <w:r w:rsidR="00A407D3">
        <w:rPr>
          <w:sz w:val="18"/>
          <w:szCs w:val="18"/>
        </w:rPr>
        <w:t>Pedersen</w:t>
      </w:r>
      <w:r w:rsidR="0028062D">
        <w:rPr>
          <w:sz w:val="18"/>
          <w:szCs w:val="18"/>
        </w:rPr>
        <w:t xml:space="preserve"> et al. (2016) provides medians and interquartile ranges (IQR) for HOMA-IR, from which we estimated means and SDs (means and SDs are presented in Table </w:t>
      </w:r>
      <w:r w:rsidR="00A65AE0">
        <w:rPr>
          <w:sz w:val="18"/>
          <w:szCs w:val="18"/>
        </w:rPr>
        <w:t>4</w:t>
      </w:r>
      <w:r w:rsidR="0028062D">
        <w:rPr>
          <w:sz w:val="18"/>
          <w:szCs w:val="18"/>
        </w:rPr>
        <w:t xml:space="preserve">) as described in </w:t>
      </w:r>
      <w:r w:rsidR="0075189F">
        <w:rPr>
          <w:sz w:val="18"/>
          <w:szCs w:val="18"/>
        </w:rPr>
        <w:t xml:space="preserve">Appendix </w:t>
      </w:r>
      <w:r w:rsidR="0028062D" w:rsidRPr="00B30119">
        <w:rPr>
          <w:sz w:val="18"/>
          <w:szCs w:val="18"/>
        </w:rPr>
        <w:t xml:space="preserve">Section </w:t>
      </w:r>
      <w:r w:rsidR="00F66CF3" w:rsidRPr="00B30119">
        <w:rPr>
          <w:sz w:val="18"/>
          <w:szCs w:val="18"/>
        </w:rPr>
        <w:t>2.6</w:t>
      </w:r>
      <w:r w:rsidR="0028062D" w:rsidRPr="00B30119">
        <w:rPr>
          <w:sz w:val="18"/>
          <w:szCs w:val="18"/>
        </w:rPr>
        <w:t xml:space="preserve">. The medians (IQR) published by </w:t>
      </w:r>
      <w:r w:rsidR="00A407D3">
        <w:rPr>
          <w:sz w:val="18"/>
          <w:szCs w:val="18"/>
        </w:rPr>
        <w:t>Pedersen</w:t>
      </w:r>
      <w:r w:rsidR="0028062D" w:rsidRPr="00B30119">
        <w:rPr>
          <w:sz w:val="18"/>
          <w:szCs w:val="18"/>
        </w:rPr>
        <w:t xml:space="preserve"> et al. (2016) for HOMA-IR are: 1.88 (1.15–2.77) for placebo baseline; 1.58 (1.27–2.56) for placebo </w:t>
      </w:r>
      <w:r w:rsidR="007F0E9F">
        <w:rPr>
          <w:sz w:val="18"/>
          <w:szCs w:val="18"/>
        </w:rPr>
        <w:t>follow-up</w:t>
      </w:r>
      <w:r w:rsidR="0028062D" w:rsidRPr="00B30119">
        <w:rPr>
          <w:sz w:val="18"/>
          <w:szCs w:val="18"/>
        </w:rPr>
        <w:t>; 1.60 (1.03–2.18) for intervention baseline; and, 1.7 (1.08–2.68) for intervention</w:t>
      </w:r>
      <w:r w:rsidR="007F0E9F">
        <w:rPr>
          <w:sz w:val="18"/>
          <w:szCs w:val="18"/>
        </w:rPr>
        <w:t xml:space="preserve"> follow-up</w:t>
      </w:r>
      <w:r w:rsidR="0028062D" w:rsidRPr="00B30119">
        <w:rPr>
          <w:sz w:val="18"/>
          <w:szCs w:val="18"/>
        </w:rPr>
        <w:t>.</w:t>
      </w:r>
    </w:p>
    <w:p w14:paraId="147F50F8" w14:textId="73B2B4D3" w:rsidR="0028062D" w:rsidRPr="00B30119" w:rsidRDefault="005A3302" w:rsidP="0028062D">
      <w:pPr>
        <w:rPr>
          <w:sz w:val="18"/>
          <w:szCs w:val="18"/>
          <w:vertAlign w:val="superscript"/>
        </w:rPr>
      </w:pPr>
      <w:r>
        <w:rPr>
          <w:sz w:val="18"/>
          <w:szCs w:val="18"/>
          <w:vertAlign w:val="superscript"/>
        </w:rPr>
        <w:t>4</w:t>
      </w:r>
      <w:r w:rsidR="0028062D" w:rsidRPr="00B30119">
        <w:rPr>
          <w:sz w:val="18"/>
          <w:szCs w:val="18"/>
          <w:vertAlign w:val="superscript"/>
        </w:rPr>
        <w:t xml:space="preserve"> </w:t>
      </w:r>
      <w:r w:rsidR="0028062D" w:rsidRPr="00B30119">
        <w:rPr>
          <w:sz w:val="18"/>
          <w:szCs w:val="18"/>
        </w:rPr>
        <w:t>Represents values at end of the intervention period for all outcomes and studies.</w:t>
      </w:r>
    </w:p>
    <w:p w14:paraId="7351E600" w14:textId="3D1019DC" w:rsidR="0028062D" w:rsidRPr="00B30119" w:rsidRDefault="00301F22" w:rsidP="0028062D">
      <w:pPr>
        <w:rPr>
          <w:strike/>
          <w:sz w:val="18"/>
          <w:szCs w:val="18"/>
        </w:rPr>
      </w:pPr>
      <w:r>
        <w:rPr>
          <w:sz w:val="18"/>
          <w:szCs w:val="18"/>
          <w:vertAlign w:val="superscript"/>
        </w:rPr>
        <w:t>5</w:t>
      </w:r>
      <w:r w:rsidR="0028062D" w:rsidRPr="00B30119">
        <w:rPr>
          <w:sz w:val="18"/>
          <w:szCs w:val="18"/>
        </w:rPr>
        <w:t xml:space="preserve"> Calculated mean difference = mean (intervention </w:t>
      </w:r>
      <w:r w:rsidR="007F0E9F">
        <w:rPr>
          <w:sz w:val="18"/>
          <w:szCs w:val="18"/>
        </w:rPr>
        <w:t>follow-up</w:t>
      </w:r>
      <w:r w:rsidR="0028062D" w:rsidRPr="00B30119">
        <w:rPr>
          <w:sz w:val="18"/>
          <w:szCs w:val="18"/>
        </w:rPr>
        <w:t xml:space="preserve">) – mean (placebo </w:t>
      </w:r>
      <w:r w:rsidR="007F0E9F">
        <w:rPr>
          <w:sz w:val="18"/>
          <w:szCs w:val="18"/>
        </w:rPr>
        <w:t>follow-up</w:t>
      </w:r>
      <w:r w:rsidR="0028062D" w:rsidRPr="00B30119">
        <w:rPr>
          <w:sz w:val="18"/>
          <w:szCs w:val="18"/>
        </w:rPr>
        <w:t xml:space="preserve">) for one crossover study (van Dokkum et al. 1999). Calculated mean difference = (mean (intervention </w:t>
      </w:r>
      <w:r w:rsidR="007F0E9F">
        <w:rPr>
          <w:sz w:val="18"/>
          <w:szCs w:val="18"/>
        </w:rPr>
        <w:t>follow-up</w:t>
      </w:r>
      <w:r w:rsidR="0028062D" w:rsidRPr="00B30119">
        <w:rPr>
          <w:sz w:val="18"/>
          <w:szCs w:val="18"/>
        </w:rPr>
        <w:t xml:space="preserve">) – mean (intervention baseline)) – (mean (placebo </w:t>
      </w:r>
      <w:r w:rsidR="007F0E9F">
        <w:rPr>
          <w:sz w:val="18"/>
          <w:szCs w:val="18"/>
        </w:rPr>
        <w:t>follow-up</w:t>
      </w:r>
      <w:r w:rsidR="0028062D" w:rsidRPr="00B30119">
        <w:rPr>
          <w:sz w:val="18"/>
          <w:szCs w:val="18"/>
        </w:rPr>
        <w:t xml:space="preserve">) – mean (placebo baseline)) for one crossover study (Vulevic et al. 2013) and two parallel randomised controlled trials (Canfora et al. 2017, and </w:t>
      </w:r>
      <w:r w:rsidR="00A407D3">
        <w:rPr>
          <w:sz w:val="18"/>
          <w:szCs w:val="18"/>
        </w:rPr>
        <w:t>Pedersen</w:t>
      </w:r>
      <w:r w:rsidR="0028062D" w:rsidRPr="00B30119">
        <w:rPr>
          <w:sz w:val="18"/>
          <w:szCs w:val="18"/>
        </w:rPr>
        <w:t xml:space="preserve"> et al. 2016).</w:t>
      </w:r>
    </w:p>
    <w:p w14:paraId="27F178C6" w14:textId="435181D5" w:rsidR="0028062D" w:rsidRPr="00B30119" w:rsidRDefault="00301F22" w:rsidP="0028062D">
      <w:pPr>
        <w:rPr>
          <w:sz w:val="18"/>
          <w:szCs w:val="18"/>
        </w:rPr>
      </w:pPr>
      <w:r>
        <w:rPr>
          <w:sz w:val="18"/>
          <w:szCs w:val="18"/>
          <w:vertAlign w:val="superscript"/>
        </w:rPr>
        <w:t>6</w:t>
      </w:r>
      <w:r w:rsidR="0028062D" w:rsidRPr="00B30119">
        <w:rPr>
          <w:sz w:val="18"/>
          <w:szCs w:val="18"/>
          <w:vertAlign w:val="superscript"/>
        </w:rPr>
        <w:t xml:space="preserve"> </w:t>
      </w:r>
      <w:r w:rsidR="0028062D" w:rsidRPr="00B30119">
        <w:rPr>
          <w:sz w:val="18"/>
          <w:szCs w:val="18"/>
        </w:rPr>
        <w:t xml:space="preserve">All SEs were calculated. </w:t>
      </w:r>
      <w:r w:rsidR="0075189F">
        <w:rPr>
          <w:sz w:val="18"/>
          <w:szCs w:val="18"/>
        </w:rPr>
        <w:t>Appendix</w:t>
      </w:r>
      <w:r w:rsidR="0028062D" w:rsidRPr="00B30119">
        <w:rPr>
          <w:sz w:val="18"/>
          <w:szCs w:val="18"/>
        </w:rPr>
        <w:t xml:space="preserve"> Section </w:t>
      </w:r>
      <w:r w:rsidR="00F66CF3" w:rsidRPr="00B30119">
        <w:rPr>
          <w:sz w:val="18"/>
          <w:szCs w:val="18"/>
        </w:rPr>
        <w:t>2.6</w:t>
      </w:r>
      <w:r w:rsidR="0028062D" w:rsidRPr="00B30119">
        <w:rPr>
          <w:sz w:val="18"/>
          <w:szCs w:val="18"/>
        </w:rPr>
        <w:t xml:space="preserve"> outlines the data and formulae used to calculate the SE.</w:t>
      </w:r>
    </w:p>
    <w:p w14:paraId="75B3179F" w14:textId="4C3A4111" w:rsidR="0028062D" w:rsidRDefault="00301F22" w:rsidP="0028062D">
      <w:pPr>
        <w:rPr>
          <w:sz w:val="18"/>
          <w:szCs w:val="18"/>
        </w:rPr>
      </w:pPr>
      <w:r>
        <w:rPr>
          <w:sz w:val="18"/>
          <w:szCs w:val="18"/>
          <w:vertAlign w:val="superscript"/>
        </w:rPr>
        <w:t>7</w:t>
      </w:r>
      <w:r w:rsidR="0028062D" w:rsidRPr="00B30119">
        <w:rPr>
          <w:sz w:val="18"/>
          <w:szCs w:val="18"/>
          <w:vertAlign w:val="superscript"/>
        </w:rPr>
        <w:t xml:space="preserve"> </w:t>
      </w:r>
      <w:r w:rsidR="0028062D" w:rsidRPr="00B30119">
        <w:rPr>
          <w:sz w:val="18"/>
          <w:szCs w:val="18"/>
        </w:rPr>
        <w:t>Reflects statistical (non-)significan</w:t>
      </w:r>
      <w:r w:rsidR="0028062D" w:rsidRPr="00CF25EA">
        <w:rPr>
          <w:sz w:val="18"/>
          <w:szCs w:val="18"/>
        </w:rPr>
        <w:t>ce of the difference between placebo and intervention group at follow-up (van Dokkum et al. 1999</w:t>
      </w:r>
      <w:r w:rsidR="0028062D">
        <w:rPr>
          <w:sz w:val="18"/>
          <w:szCs w:val="18"/>
        </w:rPr>
        <w:t xml:space="preserve">, </w:t>
      </w:r>
      <w:r w:rsidR="0028062D" w:rsidRPr="00CF25EA">
        <w:rPr>
          <w:sz w:val="18"/>
          <w:szCs w:val="18"/>
        </w:rPr>
        <w:t>and</w:t>
      </w:r>
      <w:r w:rsidR="0028062D" w:rsidRPr="00FA492E">
        <w:rPr>
          <w:sz w:val="18"/>
          <w:szCs w:val="18"/>
        </w:rPr>
        <w:t xml:space="preserve"> </w:t>
      </w:r>
      <w:r w:rsidR="0028062D">
        <w:rPr>
          <w:sz w:val="18"/>
          <w:szCs w:val="18"/>
        </w:rPr>
        <w:t>Vulevic et al. 2013)</w:t>
      </w:r>
      <w:r w:rsidR="0028062D" w:rsidRPr="00690ACF">
        <w:rPr>
          <w:sz w:val="18"/>
          <w:szCs w:val="18"/>
        </w:rPr>
        <w:t xml:space="preserve"> or statistical (non-)significance of the difference in changes </w:t>
      </w:r>
      <w:r w:rsidR="0028062D">
        <w:rPr>
          <w:sz w:val="18"/>
          <w:szCs w:val="18"/>
        </w:rPr>
        <w:t>(</w:t>
      </w:r>
      <w:r w:rsidR="0028062D" w:rsidRPr="00690ACF">
        <w:rPr>
          <w:sz w:val="18"/>
          <w:szCs w:val="18"/>
        </w:rPr>
        <w:t xml:space="preserve">from baseline to </w:t>
      </w:r>
      <w:r w:rsidR="007F0E9F">
        <w:rPr>
          <w:sz w:val="18"/>
          <w:szCs w:val="18"/>
        </w:rPr>
        <w:t>follow-up</w:t>
      </w:r>
      <w:r w:rsidR="0028062D">
        <w:rPr>
          <w:sz w:val="18"/>
          <w:szCs w:val="18"/>
        </w:rPr>
        <w:t>)</w:t>
      </w:r>
      <w:r w:rsidR="0028062D" w:rsidRPr="00690ACF">
        <w:rPr>
          <w:sz w:val="18"/>
          <w:szCs w:val="18"/>
        </w:rPr>
        <w:t xml:space="preserve"> between groups</w:t>
      </w:r>
      <w:r w:rsidR="0028062D">
        <w:rPr>
          <w:sz w:val="18"/>
          <w:szCs w:val="18"/>
        </w:rPr>
        <w:t>, using a 2-way repeated-measures analysis of variance (Canfora et al. 2017) or</w:t>
      </w:r>
      <w:r w:rsidR="0028062D" w:rsidRPr="00690ACF">
        <w:rPr>
          <w:sz w:val="18"/>
          <w:szCs w:val="18"/>
        </w:rPr>
        <w:t xml:space="preserve"> wi</w:t>
      </w:r>
      <w:r w:rsidR="0028062D">
        <w:rPr>
          <w:sz w:val="18"/>
          <w:szCs w:val="18"/>
        </w:rPr>
        <w:t>th baseline values as covariate (ANC</w:t>
      </w:r>
      <w:r w:rsidR="0028062D" w:rsidRPr="00CF25EA">
        <w:rPr>
          <w:sz w:val="18"/>
          <w:szCs w:val="18"/>
        </w:rPr>
        <w:t xml:space="preserve">OVA; </w:t>
      </w:r>
      <w:r w:rsidR="00A407D3">
        <w:rPr>
          <w:sz w:val="18"/>
          <w:szCs w:val="18"/>
        </w:rPr>
        <w:t>Pedersen</w:t>
      </w:r>
      <w:r w:rsidR="0028062D" w:rsidRPr="00CF25EA">
        <w:rPr>
          <w:sz w:val="18"/>
          <w:szCs w:val="18"/>
        </w:rPr>
        <w:t xml:space="preserve"> et al. 2016). Exact </w:t>
      </w:r>
      <w:r w:rsidR="0028062D" w:rsidRPr="00CF25EA">
        <w:rPr>
          <w:i/>
          <w:sz w:val="18"/>
          <w:szCs w:val="18"/>
        </w:rPr>
        <w:t xml:space="preserve">P </w:t>
      </w:r>
      <w:r w:rsidR="0028062D" w:rsidRPr="00CF25EA">
        <w:rPr>
          <w:sz w:val="18"/>
          <w:szCs w:val="18"/>
        </w:rPr>
        <w:t>values are not provided for van Dokkum et al. (1999)</w:t>
      </w:r>
      <w:r w:rsidR="0028062D">
        <w:rPr>
          <w:sz w:val="18"/>
          <w:szCs w:val="18"/>
        </w:rPr>
        <w:t>,</w:t>
      </w:r>
      <w:r w:rsidR="0028062D" w:rsidRPr="001A0FC4">
        <w:rPr>
          <w:sz w:val="18"/>
          <w:szCs w:val="18"/>
        </w:rPr>
        <w:t xml:space="preserve"> </w:t>
      </w:r>
      <w:r w:rsidR="0028062D" w:rsidRPr="00CF25EA">
        <w:rPr>
          <w:sz w:val="18"/>
          <w:szCs w:val="18"/>
        </w:rPr>
        <w:t xml:space="preserve">and </w:t>
      </w:r>
      <w:r w:rsidR="0028062D">
        <w:rPr>
          <w:sz w:val="18"/>
          <w:szCs w:val="18"/>
        </w:rPr>
        <w:t>Vulevic et al. (2013)</w:t>
      </w:r>
      <w:r w:rsidR="0028062D" w:rsidRPr="00CF25EA">
        <w:rPr>
          <w:sz w:val="18"/>
          <w:szCs w:val="18"/>
        </w:rPr>
        <w:t>.</w:t>
      </w:r>
    </w:p>
    <w:p w14:paraId="38DE7284" w14:textId="77777777" w:rsidR="0028062D" w:rsidRPr="004808E4" w:rsidRDefault="0028062D" w:rsidP="0028062D">
      <w:pPr>
        <w:rPr>
          <w:sz w:val="18"/>
          <w:szCs w:val="18"/>
        </w:rPr>
      </w:pPr>
      <w:r w:rsidRPr="004808E4">
        <w:rPr>
          <w:sz w:val="18"/>
          <w:szCs w:val="18"/>
          <w:vertAlign w:val="superscript"/>
        </w:rPr>
        <w:t>8</w:t>
      </w:r>
      <w:r w:rsidRPr="004808E4">
        <w:rPr>
          <w:sz w:val="18"/>
          <w:szCs w:val="18"/>
        </w:rPr>
        <w:t xml:space="preserve"> </w:t>
      </w:r>
      <w:r w:rsidRPr="00FD4368">
        <w:rPr>
          <w:sz w:val="18"/>
          <w:szCs w:val="18"/>
          <w:lang w:val="en-AU"/>
        </w:rPr>
        <w:t xml:space="preserve">Note that </w:t>
      </w:r>
      <w:r w:rsidRPr="00FD4368">
        <w:rPr>
          <w:i/>
          <w:sz w:val="18"/>
          <w:szCs w:val="18"/>
          <w:lang w:val="en-AU"/>
        </w:rPr>
        <w:t xml:space="preserve">P </w:t>
      </w:r>
      <w:r w:rsidRPr="00FD4368">
        <w:rPr>
          <w:sz w:val="18"/>
          <w:szCs w:val="18"/>
          <w:lang w:val="en-AU"/>
        </w:rPr>
        <w:t xml:space="preserve">values were corrected for multiple testing and significance was set at </w:t>
      </w:r>
      <w:r w:rsidRPr="00FD4368">
        <w:rPr>
          <w:i/>
          <w:sz w:val="18"/>
          <w:szCs w:val="18"/>
          <w:lang w:val="en-AU"/>
        </w:rPr>
        <w:t>P</w:t>
      </w:r>
      <w:r w:rsidRPr="00FD4368">
        <w:rPr>
          <w:sz w:val="18"/>
          <w:szCs w:val="18"/>
          <w:lang w:val="en-AU"/>
        </w:rPr>
        <w:t>&lt;0.005 after Bonferroni adjustment.</w:t>
      </w:r>
    </w:p>
    <w:p w14:paraId="48DC07E5" w14:textId="55BB4B81" w:rsidR="0028062D" w:rsidRDefault="0028062D" w:rsidP="0028062D">
      <w:pPr>
        <w:rPr>
          <w:sz w:val="18"/>
          <w:szCs w:val="18"/>
          <w:lang w:bidi="ar-SA"/>
        </w:rPr>
      </w:pPr>
      <w:r w:rsidRPr="004003B4">
        <w:rPr>
          <w:sz w:val="18"/>
          <w:szCs w:val="18"/>
          <w:vertAlign w:val="superscript"/>
          <w:lang w:bidi="ar-SA"/>
        </w:rPr>
        <w:t>9</w:t>
      </w:r>
      <w:r w:rsidRPr="004003B4">
        <w:rPr>
          <w:sz w:val="18"/>
          <w:szCs w:val="18"/>
          <w:lang w:bidi="ar-SA"/>
        </w:rPr>
        <w:t xml:space="preserve"> These pre-intervention values</w:t>
      </w:r>
      <w:r>
        <w:rPr>
          <w:sz w:val="18"/>
          <w:szCs w:val="18"/>
          <w:lang w:bidi="ar-SA"/>
        </w:rPr>
        <w:t>,</w:t>
      </w:r>
      <w:r w:rsidRPr="004003B4">
        <w:rPr>
          <w:sz w:val="18"/>
          <w:szCs w:val="18"/>
          <w:lang w:bidi="ar-SA"/>
        </w:rPr>
        <w:t xml:space="preserve"> </w:t>
      </w:r>
      <w:r>
        <w:rPr>
          <w:sz w:val="18"/>
          <w:szCs w:val="18"/>
          <w:lang w:bidi="ar-SA"/>
        </w:rPr>
        <w:t>extracted from</w:t>
      </w:r>
      <w:r w:rsidRPr="004003B4">
        <w:rPr>
          <w:sz w:val="18"/>
          <w:szCs w:val="18"/>
          <w:lang w:bidi="ar-SA"/>
        </w:rPr>
        <w:t xml:space="preserve"> Table </w:t>
      </w:r>
      <w:r w:rsidR="0075612C">
        <w:rPr>
          <w:sz w:val="18"/>
          <w:szCs w:val="18"/>
          <w:lang w:bidi="ar-SA"/>
        </w:rPr>
        <w:t>3</w:t>
      </w:r>
      <w:r>
        <w:rPr>
          <w:sz w:val="18"/>
          <w:szCs w:val="18"/>
          <w:lang w:bidi="ar-SA"/>
        </w:rPr>
        <w:t xml:space="preserve"> (</w:t>
      </w:r>
      <w:r w:rsidRPr="004003B4">
        <w:rPr>
          <w:sz w:val="18"/>
          <w:szCs w:val="18"/>
          <w:lang w:bidi="ar-SA"/>
        </w:rPr>
        <w:t>Canfora et al. 2017</w:t>
      </w:r>
      <w:r>
        <w:rPr>
          <w:sz w:val="18"/>
          <w:szCs w:val="18"/>
          <w:lang w:bidi="ar-SA"/>
        </w:rPr>
        <w:t>),</w:t>
      </w:r>
      <w:r w:rsidRPr="004003B4">
        <w:rPr>
          <w:sz w:val="18"/>
          <w:szCs w:val="18"/>
          <w:lang w:bidi="ar-SA"/>
        </w:rPr>
        <w:t xml:space="preserve"> differ to the baseline values </w:t>
      </w:r>
      <w:r>
        <w:rPr>
          <w:sz w:val="18"/>
          <w:szCs w:val="18"/>
          <w:lang w:bidi="ar-SA"/>
        </w:rPr>
        <w:t xml:space="preserve">presented in Table 1 of </w:t>
      </w:r>
      <w:r w:rsidRPr="004003B4">
        <w:rPr>
          <w:sz w:val="18"/>
          <w:szCs w:val="18"/>
          <w:lang w:bidi="ar-SA"/>
        </w:rPr>
        <w:t xml:space="preserve">Canfora et al. </w:t>
      </w:r>
      <w:r>
        <w:rPr>
          <w:sz w:val="18"/>
          <w:szCs w:val="18"/>
          <w:lang w:bidi="ar-SA"/>
        </w:rPr>
        <w:t>(</w:t>
      </w:r>
      <w:r w:rsidRPr="004003B4">
        <w:rPr>
          <w:sz w:val="18"/>
          <w:szCs w:val="18"/>
          <w:lang w:bidi="ar-SA"/>
        </w:rPr>
        <w:t>2017</w:t>
      </w:r>
      <w:r>
        <w:rPr>
          <w:sz w:val="18"/>
          <w:szCs w:val="18"/>
          <w:lang w:bidi="ar-SA"/>
        </w:rPr>
        <w:t>) (</w:t>
      </w:r>
      <w:r w:rsidRPr="004003B4">
        <w:rPr>
          <w:sz w:val="18"/>
          <w:szCs w:val="18"/>
          <w:lang w:bidi="ar-SA"/>
        </w:rPr>
        <w:t xml:space="preserve">19.1 </w:t>
      </w:r>
      <w:r w:rsidRPr="004003B4">
        <w:rPr>
          <w:rFonts w:cs="Arial"/>
          <w:sz w:val="18"/>
          <w:szCs w:val="18"/>
          <w:lang w:bidi="ar-SA"/>
        </w:rPr>
        <w:t>± 7.2</w:t>
      </w:r>
      <w:r w:rsidRPr="004003B4">
        <w:rPr>
          <w:sz w:val="18"/>
          <w:szCs w:val="18"/>
          <w:lang w:bidi="ar-SA"/>
        </w:rPr>
        <w:t xml:space="preserve"> and 20.7 </w:t>
      </w:r>
      <w:r w:rsidRPr="004003B4">
        <w:rPr>
          <w:rFonts w:cs="Arial"/>
          <w:sz w:val="18"/>
          <w:szCs w:val="18"/>
          <w:lang w:bidi="ar-SA"/>
        </w:rPr>
        <w:t>± 6.7</w:t>
      </w:r>
      <w:r w:rsidRPr="004003B4">
        <w:rPr>
          <w:sz w:val="18"/>
          <w:szCs w:val="18"/>
          <w:lang w:bidi="ar-SA"/>
        </w:rPr>
        <w:t xml:space="preserve"> for the placebo and intervention, respectively).</w:t>
      </w:r>
      <w:r>
        <w:rPr>
          <w:sz w:val="18"/>
          <w:szCs w:val="18"/>
          <w:lang w:bidi="ar-SA"/>
        </w:rPr>
        <w:t xml:space="preserve"> It is likely that data presented in Table 1 of </w:t>
      </w:r>
      <w:r w:rsidRPr="004003B4">
        <w:rPr>
          <w:sz w:val="18"/>
          <w:szCs w:val="18"/>
          <w:lang w:bidi="ar-SA"/>
        </w:rPr>
        <w:t xml:space="preserve">Canfora et al. </w:t>
      </w:r>
      <w:r>
        <w:rPr>
          <w:sz w:val="18"/>
          <w:szCs w:val="18"/>
          <w:lang w:bidi="ar-SA"/>
        </w:rPr>
        <w:t>(</w:t>
      </w:r>
      <w:r w:rsidRPr="004003B4">
        <w:rPr>
          <w:sz w:val="18"/>
          <w:szCs w:val="18"/>
          <w:lang w:bidi="ar-SA"/>
        </w:rPr>
        <w:t>2017</w:t>
      </w:r>
      <w:r>
        <w:rPr>
          <w:sz w:val="18"/>
          <w:szCs w:val="18"/>
          <w:lang w:bidi="ar-SA"/>
        </w:rPr>
        <w:t>) represent results from the screening phase.</w:t>
      </w:r>
    </w:p>
    <w:p w14:paraId="3C27C325" w14:textId="77777777" w:rsidR="0028062D" w:rsidRDefault="0028062D" w:rsidP="0028062D">
      <w:pPr>
        <w:rPr>
          <w:sz w:val="18"/>
          <w:szCs w:val="18"/>
          <w:lang w:bidi="ar-SA"/>
        </w:rPr>
      </w:pPr>
      <w:r>
        <w:rPr>
          <w:sz w:val="18"/>
          <w:szCs w:val="18"/>
          <w:vertAlign w:val="superscript"/>
          <w:lang w:bidi="ar-SA"/>
        </w:rPr>
        <w:t>10</w:t>
      </w:r>
      <w:r>
        <w:rPr>
          <w:sz w:val="18"/>
          <w:szCs w:val="18"/>
          <w:lang w:bidi="ar-SA"/>
        </w:rPr>
        <w:t xml:space="preserve"> Significant within-group change (</w:t>
      </w:r>
      <w:r>
        <w:rPr>
          <w:i/>
          <w:sz w:val="18"/>
          <w:szCs w:val="18"/>
          <w:lang w:bidi="ar-SA"/>
        </w:rPr>
        <w:t>P</w:t>
      </w:r>
      <w:r>
        <w:rPr>
          <w:sz w:val="18"/>
          <w:szCs w:val="18"/>
          <w:lang w:bidi="ar-SA"/>
        </w:rPr>
        <w:t>&lt;0.05).</w:t>
      </w:r>
    </w:p>
    <w:p w14:paraId="5C762BF2" w14:textId="0F68B10B" w:rsidR="0028062D" w:rsidRDefault="0028062D" w:rsidP="0028062D">
      <w:pPr>
        <w:rPr>
          <w:sz w:val="18"/>
          <w:szCs w:val="18"/>
          <w:lang w:bidi="ar-SA"/>
        </w:rPr>
      </w:pPr>
      <w:r w:rsidRPr="00B92320">
        <w:rPr>
          <w:sz w:val="18"/>
          <w:szCs w:val="18"/>
          <w:vertAlign w:val="superscript"/>
        </w:rPr>
        <w:t>11</w:t>
      </w:r>
      <w:r w:rsidRPr="00B92320">
        <w:rPr>
          <w:sz w:val="18"/>
          <w:szCs w:val="18"/>
        </w:rPr>
        <w:t xml:space="preserve"> </w:t>
      </w:r>
      <w:r w:rsidRPr="00B92320">
        <w:rPr>
          <w:sz w:val="18"/>
          <w:szCs w:val="18"/>
          <w:lang w:bidi="ar-SA"/>
        </w:rPr>
        <w:t>Units</w:t>
      </w:r>
      <w:r>
        <w:rPr>
          <w:sz w:val="18"/>
          <w:szCs w:val="18"/>
          <w:lang w:bidi="ar-SA"/>
        </w:rPr>
        <w:t xml:space="preserve"> of measurement for insulin concentrations are mU/L (conventional units; </w:t>
      </w:r>
      <w:r w:rsidRPr="00ED1C9E">
        <w:rPr>
          <w:sz w:val="18"/>
          <w:szCs w:val="18"/>
          <w:lang w:bidi="ar-SA"/>
        </w:rPr>
        <w:t>van Dokkum et al. 1999</w:t>
      </w:r>
      <w:r>
        <w:rPr>
          <w:sz w:val="18"/>
          <w:szCs w:val="18"/>
          <w:lang w:bidi="ar-SA"/>
        </w:rPr>
        <w:t xml:space="preserve">, and Canfora et al. 2017) and </w:t>
      </w:r>
      <w:r w:rsidRPr="00ED1C9E">
        <w:rPr>
          <w:sz w:val="18"/>
          <w:szCs w:val="18"/>
          <w:lang w:bidi="ar-SA"/>
        </w:rPr>
        <w:t>pmol/L (</w:t>
      </w:r>
      <w:r>
        <w:rPr>
          <w:sz w:val="18"/>
          <w:szCs w:val="18"/>
          <w:lang w:bidi="ar-SA"/>
        </w:rPr>
        <w:t>Syst</w:t>
      </w:r>
      <w:r>
        <w:rPr>
          <w:rFonts w:cs="Arial"/>
          <w:sz w:val="18"/>
          <w:szCs w:val="18"/>
          <w:lang w:bidi="ar-SA"/>
        </w:rPr>
        <w:t>è</w:t>
      </w:r>
      <w:r>
        <w:rPr>
          <w:sz w:val="18"/>
          <w:szCs w:val="18"/>
          <w:lang w:bidi="ar-SA"/>
        </w:rPr>
        <w:t xml:space="preserve">me International units; </w:t>
      </w:r>
      <w:r w:rsidRPr="00ED1C9E">
        <w:rPr>
          <w:sz w:val="18"/>
          <w:szCs w:val="18"/>
          <w:lang w:bidi="ar-SA"/>
        </w:rPr>
        <w:t>Vulevic et al. 2013</w:t>
      </w:r>
      <w:r>
        <w:rPr>
          <w:sz w:val="18"/>
          <w:szCs w:val="18"/>
          <w:lang w:bidi="ar-SA"/>
        </w:rPr>
        <w:t xml:space="preserve">, and </w:t>
      </w:r>
      <w:r w:rsidR="00A407D3">
        <w:rPr>
          <w:sz w:val="18"/>
          <w:szCs w:val="18"/>
          <w:lang w:bidi="ar-SA"/>
        </w:rPr>
        <w:t>Pedersen</w:t>
      </w:r>
      <w:r>
        <w:rPr>
          <w:sz w:val="18"/>
          <w:szCs w:val="18"/>
          <w:lang w:bidi="ar-SA"/>
        </w:rPr>
        <w:t xml:space="preserve"> et al. 2016). The difference in insulin concentrations (between groups at </w:t>
      </w:r>
      <w:r w:rsidR="007F0E9F">
        <w:rPr>
          <w:sz w:val="18"/>
          <w:szCs w:val="18"/>
          <w:lang w:bidi="ar-SA"/>
        </w:rPr>
        <w:t>follow-up</w:t>
      </w:r>
      <w:r>
        <w:rPr>
          <w:sz w:val="18"/>
          <w:szCs w:val="18"/>
          <w:lang w:bidi="ar-SA"/>
        </w:rPr>
        <w:t xml:space="preserve"> for </w:t>
      </w:r>
      <w:r w:rsidRPr="00ED1C9E">
        <w:rPr>
          <w:sz w:val="18"/>
          <w:szCs w:val="18"/>
          <w:lang w:bidi="ar-SA"/>
        </w:rPr>
        <w:t>van Dokkum et al. 1999</w:t>
      </w:r>
      <w:r>
        <w:rPr>
          <w:sz w:val="18"/>
          <w:szCs w:val="18"/>
          <w:lang w:bidi="ar-SA"/>
        </w:rPr>
        <w:t xml:space="preserve"> or between groups over time fo</w:t>
      </w:r>
      <w:r w:rsidRPr="00A032B5">
        <w:rPr>
          <w:sz w:val="18"/>
          <w:szCs w:val="18"/>
          <w:lang w:bidi="ar-SA"/>
        </w:rPr>
        <w:t>r Canfora et al. 2017) can be converted to ‘</w:t>
      </w:r>
      <w:r w:rsidRPr="00A032B5">
        <w:rPr>
          <w:rFonts w:cs="Arial"/>
          <w:sz w:val="18"/>
          <w:szCs w:val="18"/>
          <w:lang w:bidi="ar-SA"/>
        </w:rPr>
        <w:t>pmol/L’</w:t>
      </w:r>
      <w:r w:rsidRPr="00A032B5">
        <w:rPr>
          <w:sz w:val="18"/>
          <w:szCs w:val="18"/>
          <w:lang w:bidi="ar-SA"/>
        </w:rPr>
        <w:t xml:space="preserve"> units using the conversion factor: 1 </w:t>
      </w:r>
      <w:r w:rsidR="00E44C45">
        <w:rPr>
          <w:rFonts w:cs="Arial"/>
          <w:sz w:val="18"/>
          <w:szCs w:val="18"/>
          <w:lang w:bidi="ar-SA"/>
        </w:rPr>
        <w:t>µIU/mL = 6.00 pmol/L (Knopp et al. 2019</w:t>
      </w:r>
      <w:r w:rsidRPr="00A032B5">
        <w:rPr>
          <w:rFonts w:cs="Arial"/>
          <w:sz w:val="18"/>
          <w:szCs w:val="18"/>
          <w:lang w:bidi="ar-SA"/>
        </w:rPr>
        <w:t>). The subsequent differences (</w:t>
      </w:r>
      <w:r w:rsidRPr="00A032B5">
        <w:rPr>
          <w:sz w:val="18"/>
          <w:szCs w:val="18"/>
          <w:lang w:bidi="ar-SA"/>
        </w:rPr>
        <w:t xml:space="preserve">mean </w:t>
      </w:r>
      <w:r w:rsidRPr="00A032B5">
        <w:rPr>
          <w:rFonts w:cs="Arial"/>
          <w:sz w:val="18"/>
          <w:szCs w:val="18"/>
          <w:lang w:bidi="ar-SA"/>
        </w:rPr>
        <w:t>± SE) are</w:t>
      </w:r>
      <w:r w:rsidRPr="00F61BC0">
        <w:rPr>
          <w:rFonts w:cs="Arial"/>
          <w:sz w:val="18"/>
          <w:szCs w:val="18"/>
          <w:lang w:bidi="ar-SA"/>
        </w:rPr>
        <w:t xml:space="preserve">: -7.2 ± </w:t>
      </w:r>
      <w:r w:rsidR="00ED5531" w:rsidRPr="00F61BC0">
        <w:rPr>
          <w:rFonts w:cs="Arial"/>
          <w:sz w:val="18"/>
          <w:szCs w:val="18"/>
          <w:lang w:bidi="ar-SA"/>
        </w:rPr>
        <w:t>6.2</w:t>
      </w:r>
      <w:r w:rsidRPr="00F61BC0">
        <w:rPr>
          <w:rFonts w:cs="Arial"/>
          <w:sz w:val="18"/>
          <w:szCs w:val="18"/>
          <w:lang w:bidi="ar-SA"/>
        </w:rPr>
        <w:t xml:space="preserve"> </w:t>
      </w:r>
      <w:r>
        <w:rPr>
          <w:rFonts w:cs="Arial"/>
          <w:sz w:val="18"/>
          <w:szCs w:val="18"/>
          <w:lang w:bidi="ar-SA"/>
        </w:rPr>
        <w:t xml:space="preserve">pmol/L and </w:t>
      </w:r>
      <w:r w:rsidRPr="00F61BC0">
        <w:rPr>
          <w:rFonts w:cs="Arial"/>
          <w:sz w:val="18"/>
          <w:szCs w:val="18"/>
          <w:lang w:bidi="ar-SA"/>
        </w:rPr>
        <w:t xml:space="preserve">-6.0 ± </w:t>
      </w:r>
      <w:r w:rsidR="00ED5531" w:rsidRPr="00F61BC0">
        <w:rPr>
          <w:rFonts w:cs="Arial"/>
          <w:sz w:val="18"/>
          <w:szCs w:val="18"/>
          <w:lang w:bidi="ar-SA"/>
        </w:rPr>
        <w:t>20.0</w:t>
      </w:r>
      <w:r w:rsidRPr="00F61BC0">
        <w:rPr>
          <w:rFonts w:cs="Arial"/>
          <w:sz w:val="18"/>
          <w:szCs w:val="18"/>
          <w:lang w:bidi="ar-SA"/>
        </w:rPr>
        <w:t xml:space="preserve"> </w:t>
      </w:r>
      <w:r>
        <w:rPr>
          <w:rFonts w:cs="Arial"/>
          <w:sz w:val="18"/>
          <w:szCs w:val="18"/>
          <w:lang w:bidi="ar-SA"/>
        </w:rPr>
        <w:t>pmol/L for</w:t>
      </w:r>
      <w:r w:rsidRPr="00AF57DC">
        <w:rPr>
          <w:sz w:val="18"/>
          <w:szCs w:val="18"/>
          <w:lang w:bidi="ar-SA"/>
        </w:rPr>
        <w:t xml:space="preserve"> </w:t>
      </w:r>
      <w:r w:rsidRPr="00ED1C9E">
        <w:rPr>
          <w:sz w:val="18"/>
          <w:szCs w:val="18"/>
          <w:lang w:bidi="ar-SA"/>
        </w:rPr>
        <w:t xml:space="preserve">van Dokkum et al. </w:t>
      </w:r>
      <w:r>
        <w:rPr>
          <w:sz w:val="18"/>
          <w:szCs w:val="18"/>
          <w:lang w:bidi="ar-SA"/>
        </w:rPr>
        <w:t>(</w:t>
      </w:r>
      <w:r w:rsidRPr="00ED1C9E">
        <w:rPr>
          <w:sz w:val="18"/>
          <w:szCs w:val="18"/>
          <w:lang w:bidi="ar-SA"/>
        </w:rPr>
        <w:t>1999</w:t>
      </w:r>
      <w:r>
        <w:rPr>
          <w:sz w:val="18"/>
          <w:szCs w:val="18"/>
          <w:lang w:bidi="ar-SA"/>
        </w:rPr>
        <w:t>) and Canfora et al. (2017), respectively. The latter ‘pmol/L’ values have been used in our meta-analysis.</w:t>
      </w:r>
    </w:p>
    <w:p w14:paraId="3C80C406" w14:textId="62C518AD" w:rsidR="0028062D" w:rsidRPr="00E173B5" w:rsidRDefault="0028062D" w:rsidP="0028062D">
      <w:pPr>
        <w:rPr>
          <w:sz w:val="18"/>
          <w:szCs w:val="18"/>
        </w:rPr>
        <w:sectPr w:rsidR="0028062D" w:rsidRPr="00E173B5" w:rsidSect="000B7375">
          <w:pgSz w:w="16838" w:h="11906" w:orient="landscape"/>
          <w:pgMar w:top="1418" w:right="1418" w:bottom="1418" w:left="1418" w:header="709" w:footer="709" w:gutter="0"/>
          <w:cols w:space="708"/>
          <w:docGrid w:linePitch="360"/>
        </w:sectPr>
      </w:pPr>
      <w:r w:rsidRPr="00E173B5">
        <w:rPr>
          <w:sz w:val="18"/>
          <w:szCs w:val="18"/>
          <w:vertAlign w:val="superscript"/>
        </w:rPr>
        <w:t>12</w:t>
      </w:r>
      <w:r>
        <w:rPr>
          <w:sz w:val="18"/>
          <w:szCs w:val="18"/>
        </w:rPr>
        <w:t xml:space="preserve"> Data</w:t>
      </w:r>
      <w:r w:rsidRPr="00E173B5">
        <w:rPr>
          <w:sz w:val="18"/>
          <w:szCs w:val="18"/>
        </w:rPr>
        <w:t xml:space="preserve"> have been estimated by extracting</w:t>
      </w:r>
      <w:r>
        <w:rPr>
          <w:sz w:val="18"/>
          <w:szCs w:val="18"/>
        </w:rPr>
        <w:t xml:space="preserve"> numerical</w:t>
      </w:r>
      <w:r w:rsidRPr="00E173B5">
        <w:rPr>
          <w:sz w:val="18"/>
          <w:szCs w:val="18"/>
        </w:rPr>
        <w:t xml:space="preserve"> data from</w:t>
      </w:r>
      <w:r>
        <w:rPr>
          <w:sz w:val="18"/>
          <w:szCs w:val="18"/>
        </w:rPr>
        <w:t xml:space="preserve"> published</w:t>
      </w:r>
      <w:r w:rsidRPr="00E173B5">
        <w:rPr>
          <w:sz w:val="18"/>
          <w:szCs w:val="18"/>
        </w:rPr>
        <w:t xml:space="preserve"> </w:t>
      </w:r>
      <w:r>
        <w:rPr>
          <w:sz w:val="18"/>
          <w:szCs w:val="18"/>
        </w:rPr>
        <w:t>images (</w:t>
      </w:r>
      <w:r w:rsidRPr="00E173B5">
        <w:rPr>
          <w:sz w:val="18"/>
          <w:szCs w:val="18"/>
        </w:rPr>
        <w:t>figures</w:t>
      </w:r>
      <w:r>
        <w:rPr>
          <w:sz w:val="18"/>
          <w:szCs w:val="18"/>
        </w:rPr>
        <w:t xml:space="preserve">) using an online tool, ‘WebPlotDigitizer’. The baseline HOMA-IR values reported by Canfora et al. (2017) in Table 1 differ to the data extracted from Figure 2C. For the placebo condition, the baseline data was </w:t>
      </w:r>
      <w:r w:rsidRPr="00E51336">
        <w:rPr>
          <w:sz w:val="18"/>
          <w:szCs w:val="18"/>
          <w:lang w:bidi="ar-SA"/>
        </w:rPr>
        <w:t xml:space="preserve">5.10 </w:t>
      </w:r>
      <w:r w:rsidRPr="00E51336">
        <w:rPr>
          <w:rFonts w:cs="Arial"/>
          <w:sz w:val="18"/>
          <w:szCs w:val="18"/>
          <w:lang w:bidi="ar-SA"/>
        </w:rPr>
        <w:t>±</w:t>
      </w:r>
      <w:r>
        <w:rPr>
          <w:rFonts w:cs="Arial"/>
          <w:sz w:val="18"/>
          <w:szCs w:val="18"/>
          <w:lang w:bidi="ar-SA"/>
        </w:rPr>
        <w:t xml:space="preserve"> 2.7 (Table 1) and </w:t>
      </w:r>
      <w:r>
        <w:rPr>
          <w:sz w:val="18"/>
          <w:szCs w:val="18"/>
          <w:lang w:bidi="ar-SA"/>
        </w:rPr>
        <w:t xml:space="preserve">5.1 </w:t>
      </w:r>
      <w:r w:rsidRPr="00E51336">
        <w:rPr>
          <w:rFonts w:cs="Arial"/>
          <w:sz w:val="18"/>
          <w:szCs w:val="18"/>
          <w:lang w:bidi="ar-SA"/>
        </w:rPr>
        <w:t>±</w:t>
      </w:r>
      <w:r>
        <w:rPr>
          <w:rFonts w:cs="Arial"/>
          <w:sz w:val="18"/>
          <w:szCs w:val="18"/>
          <w:lang w:bidi="ar-SA"/>
        </w:rPr>
        <w:t xml:space="preserve"> 2.4 (Figure 2C)</w:t>
      </w:r>
      <w:r>
        <w:rPr>
          <w:sz w:val="18"/>
          <w:szCs w:val="18"/>
        </w:rPr>
        <w:t xml:space="preserve">. For the intervention condition, the baseline data was </w:t>
      </w:r>
      <w:r w:rsidRPr="00E51336">
        <w:rPr>
          <w:sz w:val="18"/>
          <w:szCs w:val="18"/>
          <w:lang w:bidi="ar-SA"/>
        </w:rPr>
        <w:t xml:space="preserve">5.34 </w:t>
      </w:r>
      <w:r w:rsidRPr="00E51336">
        <w:rPr>
          <w:rFonts w:cs="Arial"/>
          <w:sz w:val="18"/>
          <w:szCs w:val="18"/>
          <w:lang w:bidi="ar-SA"/>
        </w:rPr>
        <w:t>±</w:t>
      </w:r>
      <w:r>
        <w:rPr>
          <w:rFonts w:cs="Arial"/>
          <w:sz w:val="18"/>
          <w:szCs w:val="18"/>
          <w:lang w:bidi="ar-SA"/>
        </w:rPr>
        <w:t xml:space="preserve"> 2.7 (Table 1) and </w:t>
      </w:r>
      <w:r>
        <w:rPr>
          <w:sz w:val="18"/>
          <w:szCs w:val="18"/>
          <w:lang w:bidi="ar-SA"/>
        </w:rPr>
        <w:t xml:space="preserve">5.2 </w:t>
      </w:r>
      <w:r w:rsidRPr="00E51336">
        <w:rPr>
          <w:rFonts w:cs="Arial"/>
          <w:sz w:val="18"/>
          <w:szCs w:val="18"/>
          <w:lang w:bidi="ar-SA"/>
        </w:rPr>
        <w:t>±</w:t>
      </w:r>
      <w:r>
        <w:rPr>
          <w:rFonts w:cs="Arial"/>
          <w:sz w:val="18"/>
          <w:szCs w:val="18"/>
          <w:lang w:bidi="ar-SA"/>
        </w:rPr>
        <w:t xml:space="preserve"> 2.6 (Figure 2C).</w:t>
      </w:r>
      <w:r>
        <w:rPr>
          <w:sz w:val="18"/>
          <w:szCs w:val="18"/>
        </w:rPr>
        <w:t xml:space="preserve"> The difference may be due to either: (1) the tabulated ‘baseline’ data may represent data from the screening phase, whereas the data used for the figure may represent data from a separate pre-intervention data collection phase; and/or, (2) error associated with using the online tool to extract data from the figure. For consistency, the ‘difference’ in HOMA-IR (</w:t>
      </w:r>
      <w:r w:rsidRPr="00F934E9">
        <w:rPr>
          <w:sz w:val="18"/>
          <w:szCs w:val="18"/>
        </w:rPr>
        <w:t xml:space="preserve">mean </w:t>
      </w:r>
      <w:r>
        <w:rPr>
          <w:rFonts w:cs="Arial"/>
          <w:sz w:val="18"/>
          <w:szCs w:val="18"/>
          <w:lang w:bidi="ar-SA"/>
        </w:rPr>
        <w:t>± SE</w:t>
      </w:r>
      <w:r w:rsidRPr="00F934E9">
        <w:rPr>
          <w:rFonts w:cs="Arial"/>
          <w:sz w:val="18"/>
          <w:szCs w:val="18"/>
          <w:lang w:bidi="ar-SA"/>
        </w:rPr>
        <w:t>)</w:t>
      </w:r>
      <w:r>
        <w:rPr>
          <w:rFonts w:cs="Arial"/>
          <w:sz w:val="18"/>
          <w:szCs w:val="18"/>
          <w:lang w:bidi="ar-SA"/>
        </w:rPr>
        <w:t xml:space="preserve"> between groups over time has been calculated using baseline and </w:t>
      </w:r>
      <w:r w:rsidR="007F0E9F">
        <w:rPr>
          <w:rFonts w:cs="Arial"/>
          <w:sz w:val="18"/>
          <w:szCs w:val="18"/>
          <w:lang w:bidi="ar-SA"/>
        </w:rPr>
        <w:t>follow-up</w:t>
      </w:r>
      <w:r>
        <w:rPr>
          <w:rFonts w:cs="Arial"/>
          <w:sz w:val="18"/>
          <w:szCs w:val="18"/>
          <w:lang w:bidi="ar-SA"/>
        </w:rPr>
        <w:t xml:space="preserve"> data extracted from Figure 2C.</w:t>
      </w:r>
    </w:p>
    <w:p w14:paraId="352DFA2C" w14:textId="5433461B" w:rsidR="00431195" w:rsidRPr="00B51604" w:rsidRDefault="00431195" w:rsidP="00431195">
      <w:pPr>
        <w:rPr>
          <w:rFonts w:cs="Arial"/>
        </w:rPr>
      </w:pPr>
      <w:r>
        <w:rPr>
          <w:rFonts w:cs="Arial"/>
        </w:rPr>
        <w:lastRenderedPageBreak/>
        <w:t xml:space="preserve">Meta-analyses were </w:t>
      </w:r>
      <w:r w:rsidRPr="00B51604">
        <w:rPr>
          <w:rFonts w:cs="Arial"/>
        </w:rPr>
        <w:t>conducted for</w:t>
      </w:r>
      <w:r w:rsidR="004B63DD" w:rsidRPr="00B51604">
        <w:rPr>
          <w:rFonts w:cs="Arial"/>
        </w:rPr>
        <w:t xml:space="preserve"> outcomes assessed by two or more studies: the primary</w:t>
      </w:r>
      <w:r w:rsidRPr="00B51604">
        <w:rPr>
          <w:rFonts w:cs="Arial"/>
        </w:rPr>
        <w:t xml:space="preserve"> </w:t>
      </w:r>
      <w:r w:rsidR="004B63DD" w:rsidRPr="00B51604">
        <w:rPr>
          <w:rFonts w:cs="Arial"/>
        </w:rPr>
        <w:t>blood</w:t>
      </w:r>
      <w:r w:rsidRPr="00B51604">
        <w:rPr>
          <w:rFonts w:cs="Arial"/>
        </w:rPr>
        <w:t xml:space="preserve"> glucose outcome,</w:t>
      </w:r>
      <w:r w:rsidR="004B63DD" w:rsidRPr="00B51604">
        <w:rPr>
          <w:rFonts w:cs="Arial"/>
        </w:rPr>
        <w:t xml:space="preserve"> and the secondary outcomes of blood insulin and HOMA-IR</w:t>
      </w:r>
      <w:r w:rsidRPr="00B51604">
        <w:rPr>
          <w:rFonts w:cs="Arial"/>
        </w:rPr>
        <w:t>. In comparison to 0 g</w:t>
      </w:r>
      <w:r w:rsidR="00A45273">
        <w:rPr>
          <w:rFonts w:cs="Arial"/>
        </w:rPr>
        <w:t>/day</w:t>
      </w:r>
      <w:r w:rsidRPr="00B51604">
        <w:rPr>
          <w:rFonts w:cs="Arial"/>
          <w:szCs w:val="22"/>
        </w:rPr>
        <w:t xml:space="preserve">, an intake of 2.6 or 15.0 g/day </w:t>
      </w:r>
      <w:r w:rsidR="00A45273">
        <w:rPr>
          <w:rFonts w:cs="Arial"/>
          <w:szCs w:val="22"/>
        </w:rPr>
        <w:t>of added, synthetically produced</w:t>
      </w:r>
      <w:r w:rsidR="00A45273" w:rsidRPr="00B51604">
        <w:rPr>
          <w:rFonts w:cs="Arial"/>
        </w:rPr>
        <w:t xml:space="preserve"> </w:t>
      </w:r>
      <w:r w:rsidR="00C92EF1">
        <w:rPr>
          <w:rFonts w:cs="Arial"/>
        </w:rPr>
        <w:t>GOS</w:t>
      </w:r>
      <w:r w:rsidR="00A45273" w:rsidRPr="00B51604">
        <w:rPr>
          <w:rFonts w:cs="Arial"/>
          <w:szCs w:val="22"/>
        </w:rPr>
        <w:t xml:space="preserve"> </w:t>
      </w:r>
      <w:r w:rsidRPr="00B51604">
        <w:rPr>
          <w:rFonts w:cs="Arial"/>
          <w:szCs w:val="22"/>
        </w:rPr>
        <w:t>has an overall mean (95% CI) effect on:</w:t>
      </w:r>
    </w:p>
    <w:p w14:paraId="3FE34087" w14:textId="1DB6EF95" w:rsidR="00431195" w:rsidRPr="00B51604" w:rsidRDefault="00FC38FD" w:rsidP="000B6ADE">
      <w:pPr>
        <w:pStyle w:val="ListParagraph"/>
        <w:numPr>
          <w:ilvl w:val="0"/>
          <w:numId w:val="18"/>
        </w:numPr>
        <w:rPr>
          <w:rFonts w:cs="Arial"/>
          <w:szCs w:val="22"/>
        </w:rPr>
      </w:pPr>
      <w:r>
        <w:rPr>
          <w:rFonts w:cs="Arial"/>
          <w:szCs w:val="22"/>
        </w:rPr>
        <w:t xml:space="preserve">Fasting </w:t>
      </w:r>
      <w:r w:rsidR="007A2280" w:rsidRPr="00B51604">
        <w:rPr>
          <w:rFonts w:cs="Arial"/>
          <w:szCs w:val="22"/>
        </w:rPr>
        <w:t>glucose of -0.09 mmol/L (-0.19, 0.00</w:t>
      </w:r>
      <w:r w:rsidR="00431195" w:rsidRPr="00B51604">
        <w:rPr>
          <w:rFonts w:cs="Arial"/>
          <w:szCs w:val="22"/>
        </w:rPr>
        <w:t xml:space="preserve">, </w:t>
      </w:r>
      <w:r w:rsidR="00431195" w:rsidRPr="00B51604">
        <w:rPr>
          <w:rFonts w:cs="Arial"/>
          <w:i/>
          <w:szCs w:val="22"/>
        </w:rPr>
        <w:t>P</w:t>
      </w:r>
      <w:r w:rsidR="00431195" w:rsidRPr="00B51604">
        <w:rPr>
          <w:rFonts w:cs="Arial"/>
          <w:szCs w:val="22"/>
        </w:rPr>
        <w:t>=</w:t>
      </w:r>
      <w:r w:rsidR="007A2280" w:rsidRPr="00B51604">
        <w:rPr>
          <w:szCs w:val="22"/>
        </w:rPr>
        <w:t>0.06</w:t>
      </w:r>
      <w:r w:rsidR="00431195" w:rsidRPr="00B51604">
        <w:rPr>
          <w:rFonts w:cs="Arial"/>
          <w:szCs w:val="22"/>
        </w:rPr>
        <w:t>; Figure 6)</w:t>
      </w:r>
    </w:p>
    <w:p w14:paraId="0C2F6405" w14:textId="3AD3E83D" w:rsidR="00431195" w:rsidRPr="007A2280" w:rsidRDefault="00FC38FD" w:rsidP="000B6ADE">
      <w:pPr>
        <w:pStyle w:val="ListParagraph"/>
        <w:numPr>
          <w:ilvl w:val="0"/>
          <w:numId w:val="18"/>
        </w:numPr>
        <w:rPr>
          <w:rFonts w:cs="Arial"/>
          <w:szCs w:val="22"/>
        </w:rPr>
      </w:pPr>
      <w:r>
        <w:rPr>
          <w:rFonts w:cs="Arial"/>
          <w:szCs w:val="22"/>
        </w:rPr>
        <w:t xml:space="preserve">Fasting </w:t>
      </w:r>
      <w:r w:rsidR="007A2280" w:rsidRPr="00B51604">
        <w:rPr>
          <w:rFonts w:cs="Arial"/>
          <w:szCs w:val="22"/>
        </w:rPr>
        <w:t>insulin of</w:t>
      </w:r>
      <w:r w:rsidR="007A2280" w:rsidRPr="007A2280">
        <w:rPr>
          <w:rFonts w:cs="Arial"/>
          <w:szCs w:val="22"/>
        </w:rPr>
        <w:t xml:space="preserve"> -8.92</w:t>
      </w:r>
      <w:r w:rsidR="00431195" w:rsidRPr="007A2280">
        <w:rPr>
          <w:rFonts w:cs="Arial"/>
          <w:szCs w:val="22"/>
        </w:rPr>
        <w:t xml:space="preserve"> </w:t>
      </w:r>
      <w:r w:rsidR="00431195" w:rsidRPr="007A2280">
        <w:rPr>
          <w:rFonts w:cs="Arial"/>
          <w:szCs w:val="22"/>
          <w:lang w:bidi="ar-SA"/>
        </w:rPr>
        <w:t>p</w:t>
      </w:r>
      <w:r w:rsidR="007A2280" w:rsidRPr="007A2280">
        <w:rPr>
          <w:rFonts w:cs="Arial"/>
          <w:szCs w:val="22"/>
        </w:rPr>
        <w:t>mol/L (-1</w:t>
      </w:r>
      <w:r w:rsidR="00FE680F">
        <w:rPr>
          <w:rFonts w:cs="Arial"/>
          <w:szCs w:val="22"/>
        </w:rPr>
        <w:t>8.0</w:t>
      </w:r>
      <w:r w:rsidR="007A2280" w:rsidRPr="007A2280">
        <w:rPr>
          <w:rFonts w:cs="Arial"/>
          <w:szCs w:val="22"/>
        </w:rPr>
        <w:t>, 0.15</w:t>
      </w:r>
      <w:r w:rsidR="00431195" w:rsidRPr="007A2280">
        <w:rPr>
          <w:rFonts w:cs="Arial"/>
          <w:szCs w:val="22"/>
        </w:rPr>
        <w:t xml:space="preserve">, </w:t>
      </w:r>
      <w:r w:rsidR="00431195" w:rsidRPr="007A2280">
        <w:rPr>
          <w:rFonts w:cs="Arial"/>
          <w:i/>
          <w:szCs w:val="22"/>
        </w:rPr>
        <w:t>P</w:t>
      </w:r>
      <w:r w:rsidR="00431195" w:rsidRPr="007A2280">
        <w:rPr>
          <w:rFonts w:cs="Arial"/>
          <w:szCs w:val="22"/>
        </w:rPr>
        <w:t>=</w:t>
      </w:r>
      <w:r w:rsidR="007A2280" w:rsidRPr="007A2280">
        <w:rPr>
          <w:szCs w:val="22"/>
        </w:rPr>
        <w:t>0.05</w:t>
      </w:r>
      <w:r w:rsidR="00431195" w:rsidRPr="007A2280">
        <w:rPr>
          <w:rFonts w:cs="Arial"/>
          <w:szCs w:val="22"/>
        </w:rPr>
        <w:t>; Figure 7)</w:t>
      </w:r>
    </w:p>
    <w:p w14:paraId="111CD9A7" w14:textId="070C2A23" w:rsidR="00431195" w:rsidRPr="007A2280" w:rsidRDefault="007A2280" w:rsidP="000B6ADE">
      <w:pPr>
        <w:pStyle w:val="ListParagraph"/>
        <w:numPr>
          <w:ilvl w:val="0"/>
          <w:numId w:val="18"/>
        </w:numPr>
        <w:rPr>
          <w:rFonts w:cs="Arial"/>
          <w:szCs w:val="22"/>
        </w:rPr>
      </w:pPr>
      <w:r w:rsidRPr="007A2280">
        <w:rPr>
          <w:rFonts w:cs="Arial"/>
          <w:szCs w:val="22"/>
        </w:rPr>
        <w:t>HOMA-IR of 0.34 (-0.36</w:t>
      </w:r>
      <w:r w:rsidR="00431195" w:rsidRPr="007A2280">
        <w:rPr>
          <w:rFonts w:cs="Arial"/>
          <w:szCs w:val="22"/>
        </w:rPr>
        <w:t xml:space="preserve">, </w:t>
      </w:r>
      <w:r w:rsidRPr="007A2280">
        <w:rPr>
          <w:rFonts w:cs="Arial"/>
          <w:szCs w:val="22"/>
        </w:rPr>
        <w:t>1.04</w:t>
      </w:r>
      <w:r w:rsidR="00431195" w:rsidRPr="007A2280">
        <w:rPr>
          <w:rFonts w:cs="Arial"/>
          <w:szCs w:val="22"/>
        </w:rPr>
        <w:t xml:space="preserve">, </w:t>
      </w:r>
      <w:r w:rsidR="00431195" w:rsidRPr="007A2280">
        <w:rPr>
          <w:rFonts w:cs="Arial"/>
          <w:i/>
          <w:szCs w:val="22"/>
        </w:rPr>
        <w:t>P</w:t>
      </w:r>
      <w:r w:rsidR="00431195" w:rsidRPr="007A2280">
        <w:rPr>
          <w:rFonts w:cs="Arial"/>
          <w:szCs w:val="22"/>
        </w:rPr>
        <w:t>=</w:t>
      </w:r>
      <w:r w:rsidR="00431195" w:rsidRPr="007A2280">
        <w:rPr>
          <w:szCs w:val="22"/>
        </w:rPr>
        <w:t>0.</w:t>
      </w:r>
      <w:r w:rsidRPr="007A2280">
        <w:rPr>
          <w:szCs w:val="22"/>
        </w:rPr>
        <w:t>34</w:t>
      </w:r>
      <w:r w:rsidR="00431195" w:rsidRPr="007A2280">
        <w:rPr>
          <w:rFonts w:cs="Arial"/>
          <w:szCs w:val="22"/>
        </w:rPr>
        <w:t>; Figure 8)</w:t>
      </w:r>
    </w:p>
    <w:p w14:paraId="76292BE6" w14:textId="77777777" w:rsidR="00080132" w:rsidRDefault="00080132" w:rsidP="00431195">
      <w:pPr>
        <w:rPr>
          <w:rFonts w:cs="Arial"/>
          <w:highlight w:val="green"/>
        </w:rPr>
      </w:pPr>
    </w:p>
    <w:p w14:paraId="0FF73943" w14:textId="31CCD098" w:rsidR="002F3CB2" w:rsidRDefault="005D6493" w:rsidP="00431195">
      <w:pPr>
        <w:rPr>
          <w:rFonts w:cs="Arial"/>
        </w:rPr>
      </w:pPr>
      <w:r w:rsidRPr="00B51604">
        <w:rPr>
          <w:rFonts w:cs="Arial"/>
        </w:rPr>
        <w:t xml:space="preserve">There is no evidence of a </w:t>
      </w:r>
      <w:r w:rsidR="0097402E">
        <w:rPr>
          <w:lang w:bidi="ar-SA"/>
        </w:rPr>
        <w:t>clinically meaningful</w:t>
      </w:r>
      <w:r w:rsidR="003B3FD5">
        <w:rPr>
          <w:rFonts w:cs="Arial"/>
        </w:rPr>
        <w:t xml:space="preserve"> </w:t>
      </w:r>
      <w:r w:rsidRPr="00B51604">
        <w:rPr>
          <w:rFonts w:cs="Arial"/>
        </w:rPr>
        <w:t xml:space="preserve">difference in blood glucose or insulin concentration, or HOMA-IR between intervention and control groups. The difference in fasting glucose level is negligibly small; </w:t>
      </w:r>
      <w:r w:rsidRPr="00B51604">
        <w:rPr>
          <w:rFonts w:cs="Arial"/>
          <w:szCs w:val="22"/>
        </w:rPr>
        <w:t>0.09 mmol/L lower</w:t>
      </w:r>
      <w:r w:rsidRPr="00B51604">
        <w:rPr>
          <w:rFonts w:cs="Arial"/>
        </w:rPr>
        <w:t xml:space="preserve"> in the intervention condition compared to the placebo. This mean difference</w:t>
      </w:r>
      <w:r w:rsidRPr="00B51604">
        <w:rPr>
          <w:rFonts w:cs="Arial"/>
          <w:szCs w:val="22"/>
        </w:rPr>
        <w:t xml:space="preserve"> </w:t>
      </w:r>
      <w:r w:rsidRPr="00B51604">
        <w:rPr>
          <w:rFonts w:cs="Arial"/>
        </w:rPr>
        <w:t>almost reached statistical significance (</w:t>
      </w:r>
      <w:r w:rsidRPr="00B51604">
        <w:rPr>
          <w:rFonts w:cs="Arial"/>
          <w:i/>
          <w:szCs w:val="22"/>
        </w:rPr>
        <w:t>P</w:t>
      </w:r>
      <w:r w:rsidRPr="00B51604">
        <w:rPr>
          <w:rFonts w:cs="Arial"/>
          <w:szCs w:val="22"/>
        </w:rPr>
        <w:t>=</w:t>
      </w:r>
      <w:r w:rsidRPr="00B51604">
        <w:rPr>
          <w:szCs w:val="22"/>
        </w:rPr>
        <w:t>0.06</w:t>
      </w:r>
      <w:r w:rsidRPr="00B51604">
        <w:rPr>
          <w:rFonts w:cs="Arial"/>
        </w:rPr>
        <w:t>) and</w:t>
      </w:r>
      <w:r w:rsidR="008B0506">
        <w:rPr>
          <w:rFonts w:cs="Arial"/>
        </w:rPr>
        <w:t xml:space="preserve"> the upper confidence interval was above</w:t>
      </w:r>
      <w:r w:rsidRPr="00B51604">
        <w:rPr>
          <w:rFonts w:cs="Arial"/>
        </w:rPr>
        <w:t xml:space="preserve"> the line of no effect. One of the seven secondary outcomes, insulin, also had a small difference of -</w:t>
      </w:r>
      <w:r w:rsidRPr="00B51604">
        <w:rPr>
          <w:rFonts w:cs="Arial"/>
          <w:szCs w:val="22"/>
        </w:rPr>
        <w:t xml:space="preserve">8.92 </w:t>
      </w:r>
      <w:r w:rsidRPr="00B51604">
        <w:rPr>
          <w:rFonts w:cs="Arial"/>
          <w:szCs w:val="22"/>
          <w:lang w:bidi="ar-SA"/>
        </w:rPr>
        <w:t>p</w:t>
      </w:r>
      <w:r w:rsidRPr="00B51604">
        <w:rPr>
          <w:rFonts w:cs="Arial"/>
          <w:szCs w:val="22"/>
        </w:rPr>
        <w:t>mol/L (equivalent to -1.49 mU/L)</w:t>
      </w:r>
      <w:r w:rsidR="00B11F63">
        <w:rPr>
          <w:rFonts w:cs="Arial"/>
          <w:szCs w:val="22"/>
        </w:rPr>
        <w:t>,</w:t>
      </w:r>
      <w:r w:rsidR="008B0506">
        <w:rPr>
          <w:rFonts w:cs="Arial"/>
          <w:szCs w:val="22"/>
        </w:rPr>
        <w:t xml:space="preserve"> was</w:t>
      </w:r>
      <w:r w:rsidRPr="00B51604">
        <w:rPr>
          <w:rFonts w:cs="Arial"/>
          <w:szCs w:val="22"/>
        </w:rPr>
        <w:t xml:space="preserve"> close to statistical significance (</w:t>
      </w:r>
      <w:r w:rsidRPr="00B51604">
        <w:rPr>
          <w:rFonts w:cs="Arial"/>
          <w:i/>
          <w:szCs w:val="22"/>
        </w:rPr>
        <w:t>P</w:t>
      </w:r>
      <w:r w:rsidR="008B0506">
        <w:rPr>
          <w:rFonts w:cs="Arial"/>
          <w:szCs w:val="22"/>
        </w:rPr>
        <w:t>=0.05) and included</w:t>
      </w:r>
      <w:r w:rsidRPr="00B51604">
        <w:rPr>
          <w:rFonts w:cs="Arial"/>
          <w:szCs w:val="22"/>
        </w:rPr>
        <w:t xml:space="preserve"> the line of no effect.</w:t>
      </w:r>
      <w:r w:rsidRPr="00B51604">
        <w:rPr>
          <w:rFonts w:cs="Arial"/>
        </w:rPr>
        <w:t xml:space="preserve"> </w:t>
      </w:r>
      <w:r w:rsidR="00733FA0" w:rsidRPr="00D01E9D">
        <w:rPr>
          <w:rFonts w:cs="Arial"/>
          <w:szCs w:val="22"/>
        </w:rPr>
        <w:t>The confidence intervals of all weighted pooled estimates and all intervention effect estimates except one (Vulevic et al. 2013 for insulin</w:t>
      </w:r>
      <w:r w:rsidR="00733FA0">
        <w:rPr>
          <w:rFonts w:cs="Arial"/>
          <w:szCs w:val="22"/>
        </w:rPr>
        <w:t>) includes</w:t>
      </w:r>
      <w:r w:rsidR="00733FA0" w:rsidRPr="00D01E9D">
        <w:rPr>
          <w:rFonts w:cs="Arial"/>
          <w:szCs w:val="22"/>
        </w:rPr>
        <w:t xml:space="preserve"> the line of no effect. </w:t>
      </w:r>
      <w:r w:rsidR="00733FA0" w:rsidRPr="00D01E9D">
        <w:rPr>
          <w:rFonts w:cs="Arial"/>
        </w:rPr>
        <w:t xml:space="preserve">Heterogeneity between interventions was none for </w:t>
      </w:r>
      <w:r w:rsidR="00733FA0" w:rsidRPr="00D01E9D">
        <w:rPr>
          <w:rFonts w:cs="Arial"/>
          <w:szCs w:val="22"/>
        </w:rPr>
        <w:t>HOMA-IR</w:t>
      </w:r>
      <w:r w:rsidR="00733FA0" w:rsidRPr="00D01E9D">
        <w:rPr>
          <w:rFonts w:cs="Arial"/>
        </w:rPr>
        <w:t xml:space="preserve"> (I</w:t>
      </w:r>
      <w:r w:rsidR="00733FA0" w:rsidRPr="00D01E9D">
        <w:rPr>
          <w:rFonts w:cs="Arial"/>
          <w:vertAlign w:val="superscript"/>
        </w:rPr>
        <w:t>2</w:t>
      </w:r>
      <w:r w:rsidR="00733FA0" w:rsidRPr="00D01E9D">
        <w:rPr>
          <w:rFonts w:cs="Arial"/>
        </w:rPr>
        <w:t xml:space="preserve">=0%), and low for </w:t>
      </w:r>
      <w:r w:rsidR="00733FA0" w:rsidRPr="00D01E9D">
        <w:rPr>
          <w:rFonts w:cs="Arial"/>
          <w:szCs w:val="22"/>
        </w:rPr>
        <w:t>glucose</w:t>
      </w:r>
      <w:r w:rsidR="00733FA0" w:rsidRPr="00D01E9D">
        <w:rPr>
          <w:rFonts w:cs="Arial"/>
        </w:rPr>
        <w:t xml:space="preserve"> (I</w:t>
      </w:r>
      <w:r w:rsidR="00733FA0" w:rsidRPr="00D01E9D">
        <w:rPr>
          <w:rFonts w:cs="Arial"/>
          <w:vertAlign w:val="superscript"/>
        </w:rPr>
        <w:t>2</w:t>
      </w:r>
      <w:r w:rsidR="00733FA0" w:rsidRPr="00D01E9D">
        <w:rPr>
          <w:rFonts w:cs="Arial"/>
        </w:rPr>
        <w:t>=15%) and insulin (I</w:t>
      </w:r>
      <w:r w:rsidR="00733FA0" w:rsidRPr="00D01E9D">
        <w:rPr>
          <w:rFonts w:cs="Arial"/>
          <w:vertAlign w:val="superscript"/>
        </w:rPr>
        <w:t>2</w:t>
      </w:r>
      <w:r w:rsidR="00733FA0" w:rsidRPr="00D01E9D">
        <w:rPr>
          <w:rFonts w:cs="Arial"/>
        </w:rPr>
        <w:t>=10%). The differences in observed intervention effects on insulin is more likely due to random variation rather than clinical or methodological diversity, or both, among the studies.</w:t>
      </w:r>
    </w:p>
    <w:p w14:paraId="0C444284" w14:textId="77777777" w:rsidR="002F3CB2" w:rsidRDefault="002F3CB2" w:rsidP="00431195">
      <w:pPr>
        <w:rPr>
          <w:rFonts w:cs="Arial"/>
        </w:rPr>
      </w:pPr>
    </w:p>
    <w:p w14:paraId="09B18628" w14:textId="72F1A10F" w:rsidR="005D6493" w:rsidRDefault="003124E5" w:rsidP="00431195">
      <w:pPr>
        <w:rPr>
          <w:rFonts w:cs="Arial"/>
        </w:rPr>
      </w:pPr>
      <w:r>
        <w:rPr>
          <w:rFonts w:cs="Arial"/>
        </w:rPr>
        <w:t>All meta-analyses include intak</w:t>
      </w:r>
      <w:r w:rsidR="005D6493" w:rsidRPr="00B51604">
        <w:rPr>
          <w:rFonts w:cs="Arial"/>
        </w:rPr>
        <w:t>e levels that</w:t>
      </w:r>
      <w:r w:rsidR="00125C74">
        <w:rPr>
          <w:rFonts w:cs="Arial"/>
        </w:rPr>
        <w:t xml:space="preserve"> are much higher than </w:t>
      </w:r>
      <w:r w:rsidR="00A45273">
        <w:rPr>
          <w:rFonts w:cs="Arial"/>
        </w:rPr>
        <w:t xml:space="preserve">would be </w:t>
      </w:r>
      <w:r w:rsidR="00125C74">
        <w:rPr>
          <w:rFonts w:cs="Arial"/>
        </w:rPr>
        <w:t>expected</w:t>
      </w:r>
      <w:r w:rsidR="00A45273">
        <w:rPr>
          <w:rFonts w:cs="Arial"/>
        </w:rPr>
        <w:t xml:space="preserve"> from </w:t>
      </w:r>
      <w:r w:rsidR="003D5986">
        <w:rPr>
          <w:rFonts w:cs="Arial"/>
        </w:rPr>
        <w:t xml:space="preserve">the </w:t>
      </w:r>
      <w:r w:rsidR="00A45273">
        <w:rPr>
          <w:rFonts w:cs="Arial"/>
        </w:rPr>
        <w:t>intake of</w:t>
      </w:r>
      <w:r w:rsidR="00BE3200">
        <w:rPr>
          <w:rFonts w:cs="Arial"/>
        </w:rPr>
        <w:t xml:space="preserve"> naturally occurring, added, or total</w:t>
      </w:r>
      <w:r w:rsidR="00A45273">
        <w:rPr>
          <w:rFonts w:cs="Arial"/>
        </w:rPr>
        <w:t xml:space="preserve"> </w:t>
      </w:r>
      <w:r w:rsidR="00C92EF1">
        <w:rPr>
          <w:rFonts w:cs="Arial"/>
        </w:rPr>
        <w:t>GOS</w:t>
      </w:r>
      <w:r w:rsidR="005D6493" w:rsidRPr="00B51604">
        <w:rPr>
          <w:rFonts w:cs="Arial"/>
        </w:rPr>
        <w:t>. For example, the analysis for glucose has a 7</w:t>
      </w:r>
      <w:r w:rsidR="00AD415B" w:rsidRPr="00B51604">
        <w:rPr>
          <w:rFonts w:cs="Arial"/>
        </w:rPr>
        <w:t>8</w:t>
      </w:r>
      <w:r w:rsidR="005D6493" w:rsidRPr="00B51604">
        <w:rPr>
          <w:rFonts w:cs="Arial"/>
        </w:rPr>
        <w:t xml:space="preserve">% weighting towards </w:t>
      </w:r>
      <w:r>
        <w:rPr>
          <w:rFonts w:cs="Arial"/>
        </w:rPr>
        <w:t>the studies using a 15 g/day intak</w:t>
      </w:r>
      <w:r w:rsidR="005D6493" w:rsidRPr="00B51604">
        <w:rPr>
          <w:rFonts w:cs="Arial"/>
        </w:rPr>
        <w:t>e level</w:t>
      </w:r>
      <w:r w:rsidR="00125C74">
        <w:rPr>
          <w:rFonts w:cs="Arial"/>
        </w:rPr>
        <w:t xml:space="preserve"> (Figure 6)</w:t>
      </w:r>
      <w:r w:rsidR="005D6493" w:rsidRPr="00B51604">
        <w:rPr>
          <w:rFonts w:cs="Arial"/>
        </w:rPr>
        <w:t xml:space="preserve">. On the presumption that any relationship between </w:t>
      </w:r>
      <w:r w:rsidR="00C92EF1">
        <w:rPr>
          <w:rFonts w:cs="Arial"/>
        </w:rPr>
        <w:t>GOS</w:t>
      </w:r>
      <w:r w:rsidR="005D6493" w:rsidRPr="00B51604">
        <w:rPr>
          <w:rFonts w:cs="Arial"/>
        </w:rPr>
        <w:t xml:space="preserve"> intake and these outcomes are dose-dependent, we expect </w:t>
      </w:r>
      <w:r w:rsidR="00125C74">
        <w:rPr>
          <w:rFonts w:cs="Arial"/>
        </w:rPr>
        <w:t xml:space="preserve">lower </w:t>
      </w:r>
      <w:r w:rsidR="00B11F63">
        <w:rPr>
          <w:rFonts w:cs="Arial"/>
        </w:rPr>
        <w:t xml:space="preserve">and more realistic </w:t>
      </w:r>
      <w:r w:rsidR="00604740">
        <w:rPr>
          <w:rFonts w:cs="Arial"/>
        </w:rPr>
        <w:t xml:space="preserve">total </w:t>
      </w:r>
      <w:r w:rsidR="00C92EF1">
        <w:rPr>
          <w:rFonts w:cs="Arial"/>
        </w:rPr>
        <w:t>GOS</w:t>
      </w:r>
      <w:r w:rsidR="00604740">
        <w:rPr>
          <w:rFonts w:cs="Arial"/>
        </w:rPr>
        <w:t xml:space="preserve"> </w:t>
      </w:r>
      <w:r>
        <w:rPr>
          <w:rFonts w:cs="Arial"/>
        </w:rPr>
        <w:t>intak</w:t>
      </w:r>
      <w:r w:rsidR="00125C74">
        <w:rPr>
          <w:rFonts w:cs="Arial"/>
        </w:rPr>
        <w:t xml:space="preserve">e levels </w:t>
      </w:r>
      <w:r w:rsidR="00334B74">
        <w:rPr>
          <w:rFonts w:cs="Arial"/>
        </w:rPr>
        <w:t>between 0 and</w:t>
      </w:r>
      <w:r w:rsidR="00125C74">
        <w:rPr>
          <w:rFonts w:cs="Arial"/>
        </w:rPr>
        <w:t xml:space="preserve"> 5</w:t>
      </w:r>
      <w:r w:rsidR="005D6493" w:rsidRPr="00B51604">
        <w:rPr>
          <w:rFonts w:cs="Arial"/>
        </w:rPr>
        <w:t xml:space="preserve"> g/day to produce much smaller effect sizes.</w:t>
      </w:r>
      <w:r w:rsidR="00AD415B" w:rsidRPr="00B51604">
        <w:rPr>
          <w:rFonts w:cs="Arial"/>
        </w:rPr>
        <w:t xml:space="preserve"> However, based on a </w:t>
      </w:r>
      <w:r w:rsidR="00435712">
        <w:rPr>
          <w:rFonts w:cs="Arial"/>
        </w:rPr>
        <w:t xml:space="preserve">visual inspection of Figures 6 </w:t>
      </w:r>
      <w:r w:rsidR="001C3DA4">
        <w:rPr>
          <w:rFonts w:cs="Arial"/>
        </w:rPr>
        <w:t>to 8</w:t>
      </w:r>
      <w:r w:rsidR="00AD415B" w:rsidRPr="00B51604">
        <w:rPr>
          <w:rFonts w:cs="Arial"/>
        </w:rPr>
        <w:t xml:space="preserve">, </w:t>
      </w:r>
      <w:r w:rsidR="00080132" w:rsidRPr="00B51604">
        <w:rPr>
          <w:rFonts w:cs="Arial"/>
        </w:rPr>
        <w:t xml:space="preserve">there does not appear to be a dose-response relationship, which reduces the likelihood of a causal effect. </w:t>
      </w:r>
      <w:r w:rsidR="002F1AEC">
        <w:rPr>
          <w:rFonts w:cs="Arial"/>
        </w:rPr>
        <w:t>The summary effect for</w:t>
      </w:r>
      <w:r w:rsidR="001C3DA4">
        <w:rPr>
          <w:rFonts w:cs="Arial"/>
        </w:rPr>
        <w:t xml:space="preserve"> glucose and insulin (Figures 6 and 7) are heavily influenced by the results of van Dokkum et al. (1999), </w:t>
      </w:r>
      <w:r w:rsidR="002F1AEC">
        <w:rPr>
          <w:rFonts w:cs="Arial"/>
        </w:rPr>
        <w:t>which have a disproportionate weighting (57% and 44%</w:t>
      </w:r>
      <w:r w:rsidR="002F1AEC" w:rsidRPr="002F1AEC">
        <w:rPr>
          <w:rFonts w:cs="Arial"/>
        </w:rPr>
        <w:t xml:space="preserve"> </w:t>
      </w:r>
      <w:r w:rsidR="002F1AEC">
        <w:rPr>
          <w:rFonts w:cs="Arial"/>
        </w:rPr>
        <w:t>for glucose and insulin, respectively) compared to the sample size entered into the meta-analysis for this study (13% for both outcomes)</w:t>
      </w:r>
      <w:r w:rsidR="001C3DA4">
        <w:rPr>
          <w:rFonts w:cs="Arial"/>
        </w:rPr>
        <w:t>.</w:t>
      </w:r>
      <w:r w:rsidR="00AF49EA">
        <w:rPr>
          <w:rFonts w:cs="Arial"/>
        </w:rPr>
        <w:t xml:space="preserve"> </w:t>
      </w:r>
      <w:r w:rsidR="002F1AEC">
        <w:t>The total sample si</w:t>
      </w:r>
      <w:r w:rsidR="00956E05">
        <w:t>ze entered into the meta-analyse</w:t>
      </w:r>
      <w:r w:rsidR="002F1AEC">
        <w:t xml:space="preserve">s for </w:t>
      </w:r>
      <w:r w:rsidR="00956E05">
        <w:t xml:space="preserve">both </w:t>
      </w:r>
      <w:r w:rsidR="002F1AEC">
        <w:t>blood glucose and insulin (Figures 6 and 7)</w:t>
      </w:r>
      <w:r w:rsidR="00C0276F">
        <w:t xml:space="preserve"> is n=187. </w:t>
      </w:r>
      <w:r w:rsidR="00956E05">
        <w:t>van Dokkum et al. (1999) accoun</w:t>
      </w:r>
      <w:r w:rsidR="00136651">
        <w:t xml:space="preserve">ts </w:t>
      </w:r>
      <w:r w:rsidR="00956E05">
        <w:t xml:space="preserve">for </w:t>
      </w:r>
      <w:r w:rsidR="002F1AEC">
        <w:t>13%</w:t>
      </w:r>
      <w:r w:rsidR="00956E05">
        <w:t xml:space="preserve"> </w:t>
      </w:r>
      <w:r w:rsidR="005B5314">
        <w:t xml:space="preserve">(n=24) </w:t>
      </w:r>
      <w:r w:rsidR="00956E05">
        <w:t xml:space="preserve">of </w:t>
      </w:r>
      <w:r w:rsidR="00C0276F">
        <w:t xml:space="preserve">the </w:t>
      </w:r>
      <w:r w:rsidR="00956E05">
        <w:t>total sample size entered</w:t>
      </w:r>
      <w:r w:rsidR="00C0276F">
        <w:t xml:space="preserve">, </w:t>
      </w:r>
      <w:r w:rsidR="005B5314">
        <w:t>yet</w:t>
      </w:r>
      <w:r w:rsidR="00136651">
        <w:t xml:space="preserve"> carries</w:t>
      </w:r>
      <w:r w:rsidR="002F1AEC">
        <w:t xml:space="preserve"> much more weight</w:t>
      </w:r>
      <w:r w:rsidR="005B5314">
        <w:t xml:space="preserve"> in the meta-analyses</w:t>
      </w:r>
      <w:r w:rsidR="002F1AEC">
        <w:t>: 57% and 44%</w:t>
      </w:r>
      <w:r w:rsidR="005B5314">
        <w:t xml:space="preserve"> for blood glucose and insulin</w:t>
      </w:r>
      <w:r w:rsidR="002F1AEC">
        <w:t xml:space="preserve">, respectively (Figures 6 and 7). This discrepancy is likely due to the narrower variance of van Dokkum et al. (1999; Table </w:t>
      </w:r>
      <w:r w:rsidR="00A65AE0">
        <w:t>4</w:t>
      </w:r>
      <w:r w:rsidR="002F1AEC">
        <w:t xml:space="preserve">). </w:t>
      </w:r>
      <w:r w:rsidR="005B5314">
        <w:t>The</w:t>
      </w:r>
      <w:r w:rsidR="002F1AEC">
        <w:t xml:space="preserve"> </w:t>
      </w:r>
      <w:r w:rsidR="00956E05">
        <w:t xml:space="preserve">lower variance </w:t>
      </w:r>
      <w:r w:rsidR="00334B74">
        <w:t>could</w:t>
      </w:r>
      <w:r w:rsidR="002F1AEC">
        <w:t xml:space="preserve"> be attributed </w:t>
      </w:r>
      <w:r w:rsidR="00C0276F">
        <w:t>to a</w:t>
      </w:r>
      <w:r w:rsidR="002F1AEC">
        <w:t xml:space="preserve"> more homogenous sample, as well as having </w:t>
      </w:r>
      <w:r w:rsidR="002F1AEC">
        <w:rPr>
          <w:lang w:bidi="ar-SA"/>
        </w:rPr>
        <w:t>lower blood glucose and insulin levels</w:t>
      </w:r>
      <w:r w:rsidR="002F1AEC">
        <w:t xml:space="preserve"> an</w:t>
      </w:r>
      <w:r w:rsidR="002F1AEC" w:rsidRPr="006F51CA">
        <w:t>d no inclusion criteria related to abnormal glucose metabolism</w:t>
      </w:r>
      <w:r w:rsidR="00221394" w:rsidRPr="006F51CA">
        <w:t xml:space="preserve"> (see </w:t>
      </w:r>
      <w:r w:rsidR="00BE3200" w:rsidRPr="003F21EB">
        <w:t>Section 1.4.1</w:t>
      </w:r>
      <w:r w:rsidR="006F51CA" w:rsidRPr="003F21EB">
        <w:t xml:space="preserve"> </w:t>
      </w:r>
      <w:r w:rsidR="00221394" w:rsidRPr="003F21EB">
        <w:t xml:space="preserve">p. </w:t>
      </w:r>
      <w:r w:rsidR="003F21EB" w:rsidRPr="003F21EB">
        <w:t>17</w:t>
      </w:r>
      <w:r w:rsidR="00221394" w:rsidRPr="00221394">
        <w:t>)</w:t>
      </w:r>
      <w:r w:rsidR="002F1AEC" w:rsidRPr="00221394">
        <w:t xml:space="preserve"> that may otherwise create greater within-study heterogeneity in </w:t>
      </w:r>
      <w:r w:rsidR="005B5314" w:rsidRPr="00221394">
        <w:t>g</w:t>
      </w:r>
      <w:r w:rsidR="00F517BB" w:rsidRPr="00221394">
        <w:t>lucose</w:t>
      </w:r>
      <w:r w:rsidR="005B5314" w:rsidRPr="00221394">
        <w:t xml:space="preserve"> and insulin</w:t>
      </w:r>
      <w:r w:rsidR="002F1AEC" w:rsidRPr="00221394">
        <w:t xml:space="preserve"> </w:t>
      </w:r>
      <w:r w:rsidR="00956E05" w:rsidRPr="00221394">
        <w:t>responses to an experimental condition</w:t>
      </w:r>
      <w:r w:rsidR="002F1AEC" w:rsidRPr="00221394">
        <w:t>. There</w:t>
      </w:r>
      <w:r w:rsidR="002F1AEC">
        <w:t xml:space="preserve"> is a possibility, therefore, that the effect of </w:t>
      </w:r>
      <w:r w:rsidR="00C92EF1">
        <w:t>GOS</w:t>
      </w:r>
      <w:r w:rsidR="002F1AEC">
        <w:t xml:space="preserve"> may have a different effect on blood glucose-related outcomes</w:t>
      </w:r>
      <w:r w:rsidR="00B514DF">
        <w:t xml:space="preserve"> depending on the sample characteristics</w:t>
      </w:r>
      <w:r w:rsidR="00036EDF">
        <w:t>; the extent or duration of abnormal glucose metabolism may p</w:t>
      </w:r>
      <w:r w:rsidR="00334B74">
        <w:t>otentially</w:t>
      </w:r>
      <w:r w:rsidR="00036EDF">
        <w:t xml:space="preserve"> </w:t>
      </w:r>
      <w:r w:rsidR="00221394">
        <w:t>affect</w:t>
      </w:r>
      <w:r w:rsidR="00036EDF">
        <w:t xml:space="preserve"> the size and/or variability of changes to blood glucose parameters</w:t>
      </w:r>
      <w:r w:rsidR="002F1AEC">
        <w:t xml:space="preserve">. </w:t>
      </w:r>
      <w:r w:rsidR="008801F4">
        <w:t>M</w:t>
      </w:r>
      <w:r w:rsidR="002F1AEC">
        <w:t>ore studies and a subgroup analysis</w:t>
      </w:r>
      <w:r w:rsidR="008801F4">
        <w:t xml:space="preserve"> are required </w:t>
      </w:r>
      <w:r w:rsidR="00221394">
        <w:t xml:space="preserve">in order </w:t>
      </w:r>
      <w:r w:rsidR="008801F4">
        <w:t>to assess this</w:t>
      </w:r>
      <w:r w:rsidR="002F1AEC">
        <w:t>.</w:t>
      </w:r>
      <w:r w:rsidR="00B514DF">
        <w:t xml:space="preserve"> </w:t>
      </w:r>
      <w:r w:rsidR="00080132" w:rsidRPr="00B51604">
        <w:rPr>
          <w:rFonts w:cs="Arial"/>
        </w:rPr>
        <w:t>Last, one of the studies (Vulevic et al. 2013) may not have used fasting status</w:t>
      </w:r>
      <w:r w:rsidR="002F1AEC">
        <w:rPr>
          <w:rFonts w:cs="Arial"/>
        </w:rPr>
        <w:t xml:space="preserve"> for blood glucose or insulin. We note t</w:t>
      </w:r>
      <w:r w:rsidR="00080132" w:rsidRPr="00B51604">
        <w:rPr>
          <w:rFonts w:cs="Arial"/>
        </w:rPr>
        <w:t>his study had a 21% and 45% weighting in the meta-analyses for blood glucose or insulin, respectively</w:t>
      </w:r>
      <w:r w:rsidR="00125C74">
        <w:rPr>
          <w:rFonts w:cs="Arial"/>
        </w:rPr>
        <w:t xml:space="preserve"> (Figures 6 and 7)</w:t>
      </w:r>
      <w:r w:rsidR="00080132" w:rsidRPr="00B51604">
        <w:rPr>
          <w:rFonts w:cs="Arial"/>
        </w:rPr>
        <w:t>.</w:t>
      </w:r>
    </w:p>
    <w:p w14:paraId="5DCD6B39" w14:textId="4328E8A0" w:rsidR="00672F05" w:rsidRDefault="00672F05" w:rsidP="00733FA0">
      <w:pPr>
        <w:rPr>
          <w:rFonts w:cs="Arial"/>
        </w:rPr>
      </w:pPr>
    </w:p>
    <w:p w14:paraId="0C27D159" w14:textId="0210128B" w:rsidR="00672F05" w:rsidRDefault="00B30119" w:rsidP="00672F05">
      <w:pPr>
        <w:widowControl/>
        <w:rPr>
          <w:rFonts w:cs="Arial"/>
        </w:rPr>
      </w:pPr>
      <w:r w:rsidRPr="00B30119">
        <w:rPr>
          <w:rFonts w:cs="Arial"/>
          <w:noProof/>
          <w:lang w:eastAsia="en-GB" w:bidi="ar-SA"/>
        </w:rPr>
        <w:lastRenderedPageBreak/>
        <w:drawing>
          <wp:inline distT="0" distB="0" distL="0" distR="0" wp14:anchorId="3DA415B8" wp14:editId="13FD36DF">
            <wp:extent cx="5759450" cy="13830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59450" cy="1383030"/>
                    </a:xfrm>
                    <a:prstGeom prst="rect">
                      <a:avLst/>
                    </a:prstGeom>
                  </pic:spPr>
                </pic:pic>
              </a:graphicData>
            </a:graphic>
          </wp:inline>
        </w:drawing>
      </w:r>
    </w:p>
    <w:p w14:paraId="154EA31A" w14:textId="60A2778A" w:rsidR="00672F05" w:rsidRPr="00B30119" w:rsidRDefault="00672F05" w:rsidP="00672F05">
      <w:pPr>
        <w:widowControl/>
        <w:rPr>
          <w:rFonts w:cs="Arial"/>
          <w:b/>
        </w:rPr>
      </w:pPr>
      <w:r w:rsidRPr="00B30119">
        <w:rPr>
          <w:rFonts w:cs="Arial"/>
          <w:b/>
        </w:rPr>
        <w:t xml:space="preserve">Figure 6: </w:t>
      </w:r>
      <w:r w:rsidR="00774320" w:rsidRPr="00B30119">
        <w:rPr>
          <w:rFonts w:cs="Arial"/>
          <w:b/>
          <w:szCs w:val="22"/>
        </w:rPr>
        <w:t xml:space="preserve">Galacto-oligosaccharide intake </w:t>
      </w:r>
      <w:r w:rsidR="00774320" w:rsidRPr="005D6493">
        <w:rPr>
          <w:rFonts w:cs="Arial"/>
          <w:b/>
          <w:szCs w:val="22"/>
        </w:rPr>
        <w:t>has no overall effect on</w:t>
      </w:r>
      <w:r w:rsidR="00774320" w:rsidRPr="00B30119">
        <w:rPr>
          <w:rFonts w:cs="Arial"/>
          <w:b/>
        </w:rPr>
        <w:t xml:space="preserve"> fasting glucose</w:t>
      </w:r>
      <w:r w:rsidRPr="00B30119">
        <w:rPr>
          <w:rFonts w:cs="Arial"/>
          <w:b/>
          <w:vertAlign w:val="superscript"/>
        </w:rPr>
        <w:t>1</w:t>
      </w:r>
      <w:r w:rsidR="00774320" w:rsidRPr="00B30119">
        <w:rPr>
          <w:rFonts w:cs="Arial"/>
          <w:b/>
          <w:szCs w:val="22"/>
        </w:rPr>
        <w:t>.</w:t>
      </w:r>
    </w:p>
    <w:p w14:paraId="5A938C54" w14:textId="14C0CA17" w:rsidR="00672F05" w:rsidRPr="00672F05" w:rsidRDefault="00672F05" w:rsidP="00672F05">
      <w:pPr>
        <w:rPr>
          <w:sz w:val="18"/>
          <w:szCs w:val="18"/>
          <w:lang w:bidi="ar-SA"/>
        </w:rPr>
      </w:pPr>
      <w:r w:rsidRPr="00B30119">
        <w:rPr>
          <w:sz w:val="18"/>
          <w:szCs w:val="18"/>
          <w:vertAlign w:val="superscript"/>
          <w:lang w:bidi="ar-SA"/>
        </w:rPr>
        <w:t>1</w:t>
      </w:r>
      <w:r w:rsidRPr="00B30119">
        <w:rPr>
          <w:sz w:val="18"/>
          <w:szCs w:val="18"/>
          <w:lang w:bidi="ar-SA"/>
        </w:rPr>
        <w:t xml:space="preserve">Fasting status: fasting (van Dokkum et al. 1999, Canfora et al. 2017, and </w:t>
      </w:r>
      <w:r w:rsidR="00A407D3">
        <w:rPr>
          <w:sz w:val="18"/>
          <w:szCs w:val="18"/>
          <w:lang w:bidi="ar-SA"/>
        </w:rPr>
        <w:t>Pedersen</w:t>
      </w:r>
      <w:r w:rsidRPr="00B30119">
        <w:rPr>
          <w:sz w:val="18"/>
          <w:szCs w:val="18"/>
          <w:lang w:bidi="ar-SA"/>
        </w:rPr>
        <w:t xml:space="preserve"> et al. 2016), and </w:t>
      </w:r>
      <w:r w:rsidR="00FC38FD">
        <w:rPr>
          <w:sz w:val="18"/>
          <w:szCs w:val="18"/>
          <w:lang w:bidi="ar-SA"/>
        </w:rPr>
        <w:t>assumed to be fasting</w:t>
      </w:r>
      <w:r w:rsidRPr="00B30119">
        <w:rPr>
          <w:sz w:val="18"/>
          <w:szCs w:val="18"/>
          <w:lang w:bidi="ar-SA"/>
        </w:rPr>
        <w:t xml:space="preserve"> (Vulevic et al. 2013).</w:t>
      </w:r>
    </w:p>
    <w:p w14:paraId="2BCCAA98" w14:textId="2E8648E3" w:rsidR="00672F05" w:rsidRDefault="00672F05" w:rsidP="00672F05">
      <w:pPr>
        <w:widowControl/>
        <w:rPr>
          <w:rFonts w:cs="Arial"/>
        </w:rPr>
      </w:pPr>
    </w:p>
    <w:p w14:paraId="70A6FA2A" w14:textId="77777777" w:rsidR="005A1D4E" w:rsidRDefault="005A1D4E" w:rsidP="00672F05">
      <w:pPr>
        <w:widowControl/>
        <w:rPr>
          <w:rFonts w:cs="Arial"/>
        </w:rPr>
      </w:pPr>
    </w:p>
    <w:p w14:paraId="4E99B802" w14:textId="3A16F17C" w:rsidR="00672F05" w:rsidRPr="00776EA9" w:rsidRDefault="00776EA9" w:rsidP="00672F05">
      <w:pPr>
        <w:widowControl/>
        <w:rPr>
          <w:rFonts w:cs="Arial"/>
        </w:rPr>
      </w:pPr>
      <w:r w:rsidRPr="00776EA9">
        <w:rPr>
          <w:rFonts w:cs="Arial"/>
          <w:noProof/>
          <w:lang w:eastAsia="en-GB" w:bidi="ar-SA"/>
        </w:rPr>
        <w:drawing>
          <wp:inline distT="0" distB="0" distL="0" distR="0" wp14:anchorId="1D3B0614" wp14:editId="74299213">
            <wp:extent cx="5759450" cy="1371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1371600"/>
                    </a:xfrm>
                    <a:prstGeom prst="rect">
                      <a:avLst/>
                    </a:prstGeom>
                  </pic:spPr>
                </pic:pic>
              </a:graphicData>
            </a:graphic>
          </wp:inline>
        </w:drawing>
      </w:r>
    </w:p>
    <w:p w14:paraId="00B89794" w14:textId="456E7AAA" w:rsidR="00672F05" w:rsidRPr="00776EA9" w:rsidRDefault="00672F05" w:rsidP="00672F05">
      <w:pPr>
        <w:widowControl/>
        <w:rPr>
          <w:rFonts w:cs="Arial"/>
          <w:b/>
        </w:rPr>
      </w:pPr>
      <w:r w:rsidRPr="00776EA9">
        <w:rPr>
          <w:rFonts w:cs="Arial"/>
          <w:b/>
        </w:rPr>
        <w:t>F</w:t>
      </w:r>
      <w:r w:rsidR="00774320" w:rsidRPr="00776EA9">
        <w:rPr>
          <w:rFonts w:cs="Arial"/>
          <w:b/>
        </w:rPr>
        <w:t xml:space="preserve">igure 7: </w:t>
      </w:r>
      <w:r w:rsidR="00774320" w:rsidRPr="00776EA9">
        <w:rPr>
          <w:rFonts w:cs="Arial"/>
          <w:b/>
          <w:szCs w:val="22"/>
        </w:rPr>
        <w:t xml:space="preserve">Galacto-oligosaccharide intake </w:t>
      </w:r>
      <w:r w:rsidR="00774320" w:rsidRPr="005D6493">
        <w:rPr>
          <w:rFonts w:cs="Arial"/>
          <w:b/>
          <w:szCs w:val="22"/>
        </w:rPr>
        <w:t>has no overall effect on</w:t>
      </w:r>
      <w:r w:rsidR="00774320" w:rsidRPr="00776EA9">
        <w:rPr>
          <w:rFonts w:cs="Arial"/>
          <w:b/>
        </w:rPr>
        <w:t xml:space="preserve"> fasting insulin</w:t>
      </w:r>
      <w:r w:rsidRPr="00776EA9">
        <w:rPr>
          <w:rFonts w:cs="Arial"/>
          <w:b/>
          <w:vertAlign w:val="superscript"/>
        </w:rPr>
        <w:t>1</w:t>
      </w:r>
      <w:r w:rsidR="00774320" w:rsidRPr="00776EA9">
        <w:rPr>
          <w:rFonts w:cs="Arial"/>
          <w:b/>
        </w:rPr>
        <w:t>.</w:t>
      </w:r>
    </w:p>
    <w:p w14:paraId="13E19D05" w14:textId="2EE2E734" w:rsidR="00672F05" w:rsidRPr="00672F05" w:rsidRDefault="00672F05" w:rsidP="00672F05">
      <w:pPr>
        <w:rPr>
          <w:sz w:val="18"/>
          <w:szCs w:val="18"/>
          <w:lang w:bidi="ar-SA"/>
        </w:rPr>
      </w:pPr>
      <w:r w:rsidRPr="00776EA9">
        <w:rPr>
          <w:sz w:val="18"/>
          <w:szCs w:val="18"/>
          <w:vertAlign w:val="superscript"/>
          <w:lang w:bidi="ar-SA"/>
        </w:rPr>
        <w:t>1</w:t>
      </w:r>
      <w:r w:rsidRPr="00776EA9">
        <w:rPr>
          <w:sz w:val="18"/>
          <w:szCs w:val="18"/>
          <w:lang w:bidi="ar-SA"/>
        </w:rPr>
        <w:t xml:space="preserve">Fasting status: fasting (van Dokkum et al. 1999, Canfora et al. 2017, and </w:t>
      </w:r>
      <w:r w:rsidR="00A407D3">
        <w:rPr>
          <w:sz w:val="18"/>
          <w:szCs w:val="18"/>
          <w:lang w:bidi="ar-SA"/>
        </w:rPr>
        <w:t>Pedersen</w:t>
      </w:r>
      <w:r w:rsidRPr="00776EA9">
        <w:rPr>
          <w:sz w:val="18"/>
          <w:szCs w:val="18"/>
          <w:lang w:bidi="ar-SA"/>
        </w:rPr>
        <w:t xml:space="preserve"> et al. 2016),</w:t>
      </w:r>
      <w:r w:rsidR="00FC38FD" w:rsidRPr="00B30119">
        <w:rPr>
          <w:sz w:val="18"/>
          <w:szCs w:val="18"/>
          <w:lang w:bidi="ar-SA"/>
        </w:rPr>
        <w:t xml:space="preserve"> and </w:t>
      </w:r>
      <w:r w:rsidR="00FC38FD">
        <w:rPr>
          <w:sz w:val="18"/>
          <w:szCs w:val="18"/>
          <w:lang w:bidi="ar-SA"/>
        </w:rPr>
        <w:t>assumed to be fasting</w:t>
      </w:r>
      <w:r w:rsidR="00FC38FD" w:rsidRPr="00B30119">
        <w:rPr>
          <w:sz w:val="18"/>
          <w:szCs w:val="18"/>
          <w:lang w:bidi="ar-SA"/>
        </w:rPr>
        <w:t xml:space="preserve"> (Vulevic et al. 2013).</w:t>
      </w:r>
      <w:r w:rsidR="00FC38FD">
        <w:rPr>
          <w:sz w:val="18"/>
          <w:szCs w:val="18"/>
          <w:lang w:bidi="ar-SA"/>
        </w:rPr>
        <w:t xml:space="preserve"> </w:t>
      </w:r>
      <w:r w:rsidR="007C3287" w:rsidRPr="00B51604">
        <w:rPr>
          <w:rFonts w:cs="Arial"/>
          <w:sz w:val="18"/>
          <w:szCs w:val="18"/>
          <w:lang w:bidi="ar-SA"/>
        </w:rPr>
        <w:t xml:space="preserve">Mean difference (95% CI) equates to -1.49 (-3.00, 0.025) </w:t>
      </w:r>
      <w:r w:rsidR="007C3287" w:rsidRPr="00B51604">
        <w:rPr>
          <w:sz w:val="18"/>
          <w:szCs w:val="18"/>
          <w:lang w:bidi="ar-SA"/>
        </w:rPr>
        <w:t>mU/L</w:t>
      </w:r>
      <w:r w:rsidR="007C3287" w:rsidRPr="00B51604">
        <w:rPr>
          <w:rFonts w:cs="Arial"/>
          <w:sz w:val="18"/>
          <w:szCs w:val="18"/>
          <w:lang w:bidi="ar-SA"/>
        </w:rPr>
        <w:t>,</w:t>
      </w:r>
      <w:r w:rsidR="007C3287" w:rsidRPr="00B51604">
        <w:rPr>
          <w:sz w:val="18"/>
          <w:szCs w:val="18"/>
          <w:lang w:bidi="ar-SA"/>
        </w:rPr>
        <w:t xml:space="preserve"> using the conversion factor: 1 </w:t>
      </w:r>
      <w:r w:rsidR="007C3287" w:rsidRPr="00B51604">
        <w:rPr>
          <w:rFonts w:cs="Arial"/>
          <w:sz w:val="18"/>
          <w:szCs w:val="18"/>
          <w:lang w:bidi="ar-SA"/>
        </w:rPr>
        <w:t xml:space="preserve">µIU/mL </w:t>
      </w:r>
      <w:r w:rsidR="00E44C45">
        <w:rPr>
          <w:rFonts w:cs="Arial"/>
          <w:sz w:val="18"/>
          <w:szCs w:val="18"/>
          <w:lang w:bidi="ar-SA"/>
        </w:rPr>
        <w:t>= 6.00 pmol/L (Knopp et al. 2019</w:t>
      </w:r>
      <w:r w:rsidR="007C3287" w:rsidRPr="00B51604">
        <w:rPr>
          <w:rFonts w:cs="Arial"/>
          <w:sz w:val="18"/>
          <w:szCs w:val="18"/>
          <w:lang w:bidi="ar-SA"/>
        </w:rPr>
        <w:t>).</w:t>
      </w:r>
    </w:p>
    <w:p w14:paraId="760BDA3B" w14:textId="323C80A9" w:rsidR="00672F05" w:rsidRDefault="00672F05" w:rsidP="00672F05">
      <w:pPr>
        <w:widowControl/>
        <w:rPr>
          <w:rFonts w:cs="Arial"/>
        </w:rPr>
      </w:pPr>
    </w:p>
    <w:p w14:paraId="5620AA03" w14:textId="77777777" w:rsidR="005A1D4E" w:rsidRDefault="005A1D4E" w:rsidP="00672F05">
      <w:pPr>
        <w:widowControl/>
        <w:rPr>
          <w:rFonts w:cs="Arial"/>
        </w:rPr>
      </w:pPr>
    </w:p>
    <w:p w14:paraId="6B5938DF" w14:textId="6354B553" w:rsidR="00672F05" w:rsidRDefault="0043590E" w:rsidP="00672F05">
      <w:pPr>
        <w:widowControl/>
        <w:rPr>
          <w:rFonts w:cs="Arial"/>
        </w:rPr>
      </w:pPr>
      <w:r w:rsidRPr="0043590E">
        <w:rPr>
          <w:rFonts w:cs="Arial"/>
          <w:noProof/>
          <w:lang w:eastAsia="en-GB" w:bidi="ar-SA"/>
        </w:rPr>
        <w:drawing>
          <wp:inline distT="0" distB="0" distL="0" distR="0" wp14:anchorId="43BD1063" wp14:editId="09130CA3">
            <wp:extent cx="5759450" cy="11423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1142365"/>
                    </a:xfrm>
                    <a:prstGeom prst="rect">
                      <a:avLst/>
                    </a:prstGeom>
                  </pic:spPr>
                </pic:pic>
              </a:graphicData>
            </a:graphic>
          </wp:inline>
        </w:drawing>
      </w:r>
    </w:p>
    <w:p w14:paraId="728A892B" w14:textId="41FFB979" w:rsidR="00672F05" w:rsidRPr="0043590E" w:rsidRDefault="00672F05" w:rsidP="00672F05">
      <w:pPr>
        <w:widowControl/>
        <w:rPr>
          <w:rFonts w:cs="Arial"/>
          <w:b/>
        </w:rPr>
      </w:pPr>
      <w:r w:rsidRPr="0043590E">
        <w:rPr>
          <w:rFonts w:cs="Arial"/>
          <w:b/>
        </w:rPr>
        <w:t xml:space="preserve">Figure 8: </w:t>
      </w:r>
      <w:r w:rsidR="00774320" w:rsidRPr="0043590E">
        <w:rPr>
          <w:rFonts w:cs="Arial"/>
          <w:b/>
          <w:szCs w:val="22"/>
        </w:rPr>
        <w:t>Galacto-oligosaccharide intake has no overall effect on</w:t>
      </w:r>
      <w:r w:rsidR="00774320" w:rsidRPr="0043590E">
        <w:rPr>
          <w:rFonts w:cs="Arial"/>
          <w:b/>
        </w:rPr>
        <w:t xml:space="preserve"> </w:t>
      </w:r>
      <w:r w:rsidRPr="0043590E">
        <w:rPr>
          <w:rFonts w:cs="Arial"/>
          <w:b/>
        </w:rPr>
        <w:t>HOMA-IR</w:t>
      </w:r>
      <w:r w:rsidRPr="0043590E">
        <w:rPr>
          <w:rFonts w:cs="Arial"/>
          <w:b/>
          <w:vertAlign w:val="superscript"/>
        </w:rPr>
        <w:t>1</w:t>
      </w:r>
      <w:r w:rsidR="00774320" w:rsidRPr="0043590E">
        <w:rPr>
          <w:rFonts w:cs="Arial"/>
          <w:b/>
        </w:rPr>
        <w:t>.</w:t>
      </w:r>
    </w:p>
    <w:p w14:paraId="68A201A7" w14:textId="42CD120B" w:rsidR="00672F05" w:rsidRDefault="00672F05" w:rsidP="00672F05">
      <w:pPr>
        <w:widowControl/>
        <w:rPr>
          <w:rFonts w:cs="Arial"/>
          <w:sz w:val="18"/>
          <w:szCs w:val="18"/>
        </w:rPr>
      </w:pPr>
      <w:r w:rsidRPr="0043590E">
        <w:rPr>
          <w:rFonts w:cs="Arial"/>
          <w:sz w:val="18"/>
          <w:szCs w:val="18"/>
          <w:vertAlign w:val="superscript"/>
        </w:rPr>
        <w:t>1</w:t>
      </w:r>
      <w:r w:rsidRPr="0043590E">
        <w:rPr>
          <w:rFonts w:cs="Arial"/>
          <w:sz w:val="18"/>
          <w:szCs w:val="18"/>
        </w:rPr>
        <w:t>Homestatic model assessment of insulin resistance.</w:t>
      </w:r>
    </w:p>
    <w:p w14:paraId="7AFF4B0F" w14:textId="5EB0E45C" w:rsidR="00822179" w:rsidRPr="00822179" w:rsidRDefault="00822179" w:rsidP="00822179">
      <w:pPr>
        <w:widowControl/>
        <w:rPr>
          <w:szCs w:val="22"/>
          <w:lang w:bidi="ar-SA"/>
        </w:rPr>
      </w:pPr>
    </w:p>
    <w:p w14:paraId="2EEF75E3" w14:textId="77777777" w:rsidR="00822179" w:rsidRPr="00822179" w:rsidRDefault="00822179" w:rsidP="00822179">
      <w:pPr>
        <w:rPr>
          <w:szCs w:val="22"/>
          <w:lang w:bidi="ar-SA"/>
        </w:rPr>
      </w:pPr>
    </w:p>
    <w:p w14:paraId="063136FB" w14:textId="2DD44E0D" w:rsidR="00906DDB" w:rsidRDefault="00906DDB" w:rsidP="00906DDB">
      <w:pPr>
        <w:rPr>
          <w:rFonts w:cs="Arial"/>
        </w:rPr>
      </w:pPr>
      <w:r>
        <w:t>Blood glucose related outcomes</w:t>
      </w:r>
      <w:r>
        <w:rPr>
          <w:lang w:bidi="ar-SA"/>
        </w:rPr>
        <w:t xml:space="preserve"> were evaluated using</w:t>
      </w:r>
      <w:r>
        <w:t xml:space="preserve"> four</w:t>
      </w:r>
      <w:r>
        <w:rPr>
          <w:lang w:bidi="ar-SA"/>
        </w:rPr>
        <w:t xml:space="preserve"> well designed studi</w:t>
      </w:r>
      <w:r w:rsidR="00ED6A19">
        <w:rPr>
          <w:lang w:bidi="ar-SA"/>
        </w:rPr>
        <w:t>es with small sample sizes and</w:t>
      </w:r>
      <w:r>
        <w:rPr>
          <w:lang w:bidi="ar-SA"/>
        </w:rPr>
        <w:t xml:space="preserve"> industry support. A</w:t>
      </w:r>
      <w:r w:rsidR="003124E5">
        <w:rPr>
          <w:rFonts w:cs="Arial"/>
        </w:rPr>
        <w:t xml:space="preserve"> wide range of intak</w:t>
      </w:r>
      <w:r>
        <w:rPr>
          <w:rFonts w:cs="Arial"/>
        </w:rPr>
        <w:t>e levels was evaluated, including very high intakes which provide ample opportunity for a causal effect to be seen if one exists.</w:t>
      </w:r>
    </w:p>
    <w:p w14:paraId="115CFFB7" w14:textId="77777777" w:rsidR="00906DDB" w:rsidRDefault="00906DDB" w:rsidP="00080132">
      <w:pPr>
        <w:rPr>
          <w:lang w:bidi="ar-SA"/>
        </w:rPr>
      </w:pPr>
    </w:p>
    <w:p w14:paraId="36DB1C69" w14:textId="14654022" w:rsidR="00080132" w:rsidRPr="00B51604" w:rsidRDefault="00906DDB" w:rsidP="00FD20E0">
      <w:pPr>
        <w:rPr>
          <w:lang w:bidi="ar-SA"/>
        </w:rPr>
      </w:pPr>
      <w:r w:rsidRPr="008D35ED">
        <w:rPr>
          <w:lang w:bidi="ar-SA"/>
        </w:rPr>
        <w:t>We conclude, when taken a</w:t>
      </w:r>
      <w:r>
        <w:rPr>
          <w:lang w:bidi="ar-SA"/>
        </w:rPr>
        <w:t xml:space="preserve">s a whole, the body of evidence </w:t>
      </w:r>
      <w:r w:rsidRPr="008D35ED">
        <w:rPr>
          <w:lang w:bidi="ar-SA"/>
        </w:rPr>
        <w:t>does not convincingly demonstrate that</w:t>
      </w:r>
      <w:r>
        <w:rPr>
          <w:lang w:bidi="ar-SA"/>
        </w:rPr>
        <w:t xml:space="preserve"> </w:t>
      </w:r>
      <w:r w:rsidR="00C92EF1">
        <w:rPr>
          <w:lang w:bidi="ar-SA"/>
        </w:rPr>
        <w:t>GOS</w:t>
      </w:r>
      <w:r w:rsidRPr="008D35ED">
        <w:rPr>
          <w:lang w:bidi="ar-SA"/>
        </w:rPr>
        <w:t xml:space="preserve"> intake promotes a </w:t>
      </w:r>
      <w:r w:rsidR="0097402E">
        <w:rPr>
          <w:lang w:bidi="ar-SA"/>
        </w:rPr>
        <w:t>clinically meaningful</w:t>
      </w:r>
      <w:r w:rsidR="00486495">
        <w:rPr>
          <w:lang w:bidi="ar-SA"/>
        </w:rPr>
        <w:t xml:space="preserve"> modulation (</w:t>
      </w:r>
      <w:r w:rsidRPr="008D35ED">
        <w:rPr>
          <w:lang w:bidi="ar-SA"/>
        </w:rPr>
        <w:t>reduction</w:t>
      </w:r>
      <w:r w:rsidR="00486495">
        <w:rPr>
          <w:lang w:bidi="ar-SA"/>
        </w:rPr>
        <w:t>)</w:t>
      </w:r>
      <w:r w:rsidRPr="008D35ED">
        <w:rPr>
          <w:lang w:bidi="ar-SA"/>
        </w:rPr>
        <w:t xml:space="preserve"> in </w:t>
      </w:r>
      <w:r w:rsidR="00080132" w:rsidRPr="00B51604">
        <w:rPr>
          <w:lang w:bidi="ar-SA"/>
        </w:rPr>
        <w:t>fasting blood glucose</w:t>
      </w:r>
      <w:r w:rsidR="00FD20E0">
        <w:rPr>
          <w:lang w:bidi="ar-SA"/>
        </w:rPr>
        <w:t xml:space="preserve">, </w:t>
      </w:r>
      <w:r w:rsidR="00FD20E0" w:rsidRPr="008D35ED">
        <w:rPr>
          <w:lang w:bidi="ar-SA"/>
        </w:rPr>
        <w:t xml:space="preserve">glycosylated haemoglobin, </w:t>
      </w:r>
      <w:r w:rsidR="00FD20E0">
        <w:rPr>
          <w:lang w:bidi="ar-SA"/>
        </w:rPr>
        <w:t>or</w:t>
      </w:r>
      <w:r w:rsidR="00FD20E0" w:rsidRPr="008D35ED">
        <w:rPr>
          <w:lang w:bidi="ar-SA"/>
        </w:rPr>
        <w:t xml:space="preserve"> postprandial glycaemic response</w:t>
      </w:r>
      <w:r w:rsidR="00FD20E0">
        <w:rPr>
          <w:lang w:bidi="ar-SA"/>
        </w:rPr>
        <w:t>,</w:t>
      </w:r>
      <w:r w:rsidR="00080132" w:rsidRPr="00B51604">
        <w:rPr>
          <w:lang w:bidi="ar-SA"/>
        </w:rPr>
        <w:t xml:space="preserve"> </w:t>
      </w:r>
      <w:r w:rsidR="000177A6" w:rsidRPr="00B51604">
        <w:rPr>
          <w:lang w:bidi="ar-SA"/>
        </w:rPr>
        <w:t>n</w:t>
      </w:r>
      <w:r w:rsidR="00ED6A19">
        <w:rPr>
          <w:lang w:bidi="ar-SA"/>
        </w:rPr>
        <w:t xml:space="preserve">or a beneficial effect on </w:t>
      </w:r>
      <w:r w:rsidR="00080132" w:rsidRPr="00B51604">
        <w:rPr>
          <w:lang w:bidi="ar-SA"/>
        </w:rPr>
        <w:t>second</w:t>
      </w:r>
      <w:r w:rsidR="00ED6A19">
        <w:rPr>
          <w:lang w:bidi="ar-SA"/>
        </w:rPr>
        <w:t xml:space="preserve">ary outcomes including </w:t>
      </w:r>
      <w:r w:rsidR="00080132" w:rsidRPr="00B51604">
        <w:rPr>
          <w:lang w:bidi="ar-SA"/>
        </w:rPr>
        <w:t>fasting blood insulin and HOMA-IR</w:t>
      </w:r>
      <w:r w:rsidR="00FD20E0">
        <w:rPr>
          <w:lang w:bidi="ar-SA"/>
        </w:rPr>
        <w:t xml:space="preserve"> </w:t>
      </w:r>
      <w:r w:rsidR="00ED6A19">
        <w:rPr>
          <w:lang w:bidi="ar-SA"/>
        </w:rPr>
        <w:t>and five</w:t>
      </w:r>
      <w:r w:rsidR="00FD20E0" w:rsidRPr="00B51604">
        <w:rPr>
          <w:lang w:bidi="ar-SA"/>
        </w:rPr>
        <w:t xml:space="preserve"> insu</w:t>
      </w:r>
      <w:r w:rsidR="00ED6A19">
        <w:rPr>
          <w:lang w:bidi="ar-SA"/>
        </w:rPr>
        <w:t>lin-related</w:t>
      </w:r>
      <w:r w:rsidR="00FD20E0">
        <w:rPr>
          <w:lang w:bidi="ar-SA"/>
        </w:rPr>
        <w:t xml:space="preserve"> outcomes. Based on current evidence, added</w:t>
      </w:r>
      <w:r w:rsidR="0028316D">
        <w:rPr>
          <w:lang w:bidi="ar-SA"/>
        </w:rPr>
        <w:t xml:space="preserve"> </w:t>
      </w:r>
      <w:r w:rsidR="00C92EF1">
        <w:rPr>
          <w:lang w:bidi="ar-SA"/>
        </w:rPr>
        <w:t>GOS</w:t>
      </w:r>
      <w:r w:rsidR="00FD20E0" w:rsidRPr="008D35ED">
        <w:rPr>
          <w:lang w:bidi="ar-SA"/>
        </w:rPr>
        <w:t xml:space="preserve"> intake has no </w:t>
      </w:r>
      <w:r w:rsidR="0097402E">
        <w:rPr>
          <w:lang w:bidi="ar-SA"/>
        </w:rPr>
        <w:t>clinically meaningful</w:t>
      </w:r>
      <w:r w:rsidR="00FD20E0">
        <w:rPr>
          <w:lang w:bidi="ar-SA"/>
        </w:rPr>
        <w:t xml:space="preserve"> </w:t>
      </w:r>
      <w:r w:rsidR="00FD20E0" w:rsidRPr="008D35ED">
        <w:rPr>
          <w:lang w:bidi="ar-SA"/>
        </w:rPr>
        <w:t>effect on</w:t>
      </w:r>
      <w:r w:rsidR="00FD20E0">
        <w:rPr>
          <w:lang w:bidi="ar-SA"/>
        </w:rPr>
        <w:t xml:space="preserve"> </w:t>
      </w:r>
      <w:r w:rsidR="00080132" w:rsidRPr="00B51604">
        <w:rPr>
          <w:lang w:bidi="ar-SA"/>
        </w:rPr>
        <w:t>fasting blood glucose</w:t>
      </w:r>
      <w:r w:rsidR="000177A6" w:rsidRPr="00B51604">
        <w:rPr>
          <w:lang w:bidi="ar-SA"/>
        </w:rPr>
        <w:t xml:space="preserve"> (a primary outcome)</w:t>
      </w:r>
      <w:r w:rsidR="00080132" w:rsidRPr="00B51604">
        <w:rPr>
          <w:lang w:bidi="ar-SA"/>
        </w:rPr>
        <w:t xml:space="preserve">, </w:t>
      </w:r>
      <w:r w:rsidR="000177A6" w:rsidRPr="00B51604">
        <w:rPr>
          <w:lang w:bidi="ar-SA"/>
        </w:rPr>
        <w:t xml:space="preserve">or </w:t>
      </w:r>
      <w:r w:rsidR="00080132" w:rsidRPr="00B51604">
        <w:rPr>
          <w:lang w:bidi="ar-SA"/>
        </w:rPr>
        <w:t>fasting blood insulin and HOMA-IR</w:t>
      </w:r>
      <w:r w:rsidR="000177A6" w:rsidRPr="00B51604">
        <w:rPr>
          <w:lang w:bidi="ar-SA"/>
        </w:rPr>
        <w:t xml:space="preserve"> (secondary outcomes)</w:t>
      </w:r>
      <w:r w:rsidR="00FD20E0">
        <w:rPr>
          <w:lang w:bidi="ar-SA"/>
        </w:rPr>
        <w:t>.</w:t>
      </w:r>
    </w:p>
    <w:p w14:paraId="0FC86654" w14:textId="77777777" w:rsidR="00080132" w:rsidRPr="00B51604" w:rsidRDefault="00080132" w:rsidP="00822179">
      <w:pPr>
        <w:rPr>
          <w:lang w:bidi="ar-SA"/>
        </w:rPr>
      </w:pPr>
    </w:p>
    <w:p w14:paraId="2318667B" w14:textId="5F0895D7" w:rsidR="00610C6E" w:rsidRDefault="00822179" w:rsidP="00B51604">
      <w:pPr>
        <w:widowControl/>
        <w:rPr>
          <w:lang w:bidi="ar-SA"/>
        </w:rPr>
      </w:pPr>
      <w:r w:rsidRPr="00B51604">
        <w:rPr>
          <w:rFonts w:cs="Arial"/>
          <w:szCs w:val="22"/>
        </w:rPr>
        <w:t>The US Food and Drug Administration (FDA 2016) reviewed one study with respect to blood gluc</w:t>
      </w:r>
      <w:r>
        <w:rPr>
          <w:rFonts w:cs="Arial"/>
          <w:szCs w:val="22"/>
        </w:rPr>
        <w:t>ose (</w:t>
      </w:r>
      <w:r>
        <w:rPr>
          <w:lang w:bidi="ar-SA"/>
        </w:rPr>
        <w:t>Vulevic et al. 2013) with a summary aligning with ours.</w:t>
      </w:r>
    </w:p>
    <w:p w14:paraId="7FB18AB7" w14:textId="7069B09E" w:rsidR="006D00E5" w:rsidRDefault="006D00E5" w:rsidP="00FE680F">
      <w:pPr>
        <w:pStyle w:val="Heading1"/>
        <w:ind w:left="0" w:firstLine="0"/>
      </w:pPr>
      <w:bookmarkStart w:id="21" w:name="_Toc64561462"/>
      <w:bookmarkStart w:id="22" w:name="_Toc66868364"/>
      <w:r>
        <w:lastRenderedPageBreak/>
        <w:t>References</w:t>
      </w:r>
      <w:bookmarkEnd w:id="21"/>
      <w:bookmarkEnd w:id="22"/>
    </w:p>
    <w:p w14:paraId="7A1E3B4B" w14:textId="30861E9C" w:rsidR="00513652" w:rsidRDefault="00513652" w:rsidP="006D00E5">
      <w:r>
        <w:t>ABS (2013) Australian Health Survey: biomedical results for chronic diseases, 2011–12. ABS. cat. no. 4364.0.55.005. Canberra: Australian Bureau of Statistics.</w:t>
      </w:r>
    </w:p>
    <w:p w14:paraId="537FAB42" w14:textId="77777777" w:rsidR="00513652" w:rsidRDefault="00513652" w:rsidP="006D00E5"/>
    <w:p w14:paraId="592378E1" w14:textId="0AE079AC" w:rsidR="006D00E5" w:rsidRPr="00792C2A" w:rsidRDefault="006D00E5" w:rsidP="006D00E5">
      <w:pPr>
        <w:rPr>
          <w:rFonts w:cs="Arial"/>
          <w:szCs w:val="22"/>
        </w:rPr>
      </w:pPr>
      <w:r w:rsidRPr="00792C2A">
        <w:rPr>
          <w:rFonts w:cs="Arial"/>
          <w:szCs w:val="22"/>
        </w:rPr>
        <w:t xml:space="preserve">Alles MS, Meyboom HS, Harryvan JL, Van Laere KM, </w:t>
      </w:r>
      <w:r w:rsidR="0079769D">
        <w:rPr>
          <w:rFonts w:cs="Arial"/>
          <w:szCs w:val="22"/>
        </w:rPr>
        <w:t>Nagengast FM, Huatvast JG (1999)</w:t>
      </w:r>
      <w:r w:rsidRPr="00792C2A">
        <w:rPr>
          <w:rFonts w:cs="Arial"/>
          <w:szCs w:val="22"/>
        </w:rPr>
        <w:t xml:space="preserve"> Effect of transgalactooligosaccharides on the composition of the human intestinal microflora and on putative risk markers for colon cancer. Am J Clin Nutr 69(5):980-91.</w:t>
      </w:r>
    </w:p>
    <w:p w14:paraId="566AAABB" w14:textId="0F2D3654" w:rsidR="00354977" w:rsidRDefault="00354977" w:rsidP="00072F92"/>
    <w:p w14:paraId="44028E67" w14:textId="1AC1BA98" w:rsidR="00072F92" w:rsidRPr="00EE58F3" w:rsidRDefault="00072F92" w:rsidP="00072F92">
      <w:pPr>
        <w:rPr>
          <w:rFonts w:cs="Arial"/>
          <w:sz w:val="32"/>
          <w:szCs w:val="32"/>
        </w:rPr>
      </w:pPr>
      <w:r w:rsidRPr="00EE58F3">
        <w:t>Borenstein M, Hedges LV, Higgins JPT, Rothstein HR</w:t>
      </w:r>
      <w:r w:rsidR="0079769D">
        <w:t xml:space="preserve"> (2009)</w:t>
      </w:r>
      <w:r w:rsidRPr="00EE58F3">
        <w:t xml:space="preserve"> Effect sizes based on means. Ch 4 In: Introduction to meta-analysis. 1st ed, John Wiley &amp; Sons Ltd, </w:t>
      </w:r>
      <w:r w:rsidR="00F74A77">
        <w:t>West Sussex,</w:t>
      </w:r>
      <w:r w:rsidRPr="00EE58F3">
        <w:t xml:space="preserve"> pp. 21-32.</w:t>
      </w:r>
    </w:p>
    <w:p w14:paraId="302B3209" w14:textId="77777777" w:rsidR="00072F92" w:rsidRDefault="00072F92" w:rsidP="006D00E5">
      <w:pPr>
        <w:widowControl/>
        <w:autoSpaceDE w:val="0"/>
        <w:autoSpaceDN w:val="0"/>
        <w:adjustRightInd w:val="0"/>
        <w:rPr>
          <w:rFonts w:cs="Arial"/>
          <w:szCs w:val="22"/>
          <w:lang w:eastAsia="en-GB" w:bidi="ar-SA"/>
        </w:rPr>
      </w:pPr>
    </w:p>
    <w:p w14:paraId="414F6431" w14:textId="518455C5" w:rsidR="006D00E5" w:rsidRPr="009F4600" w:rsidRDefault="006D00E5" w:rsidP="006D00E5">
      <w:pPr>
        <w:widowControl/>
        <w:autoSpaceDE w:val="0"/>
        <w:autoSpaceDN w:val="0"/>
        <w:adjustRightInd w:val="0"/>
        <w:rPr>
          <w:rFonts w:cs="Arial"/>
          <w:bCs/>
          <w:szCs w:val="22"/>
          <w:lang w:eastAsia="en-GB" w:bidi="ar-SA"/>
        </w:rPr>
      </w:pPr>
      <w:r w:rsidRPr="00792C2A">
        <w:rPr>
          <w:rFonts w:cs="Arial"/>
          <w:szCs w:val="22"/>
          <w:lang w:eastAsia="en-GB" w:bidi="ar-SA"/>
        </w:rPr>
        <w:t xml:space="preserve">Bouhnik Y, Flourie B, D’Agay-Abensour L, Pochart P, ve Gramet G, le Durand M &amp; Rambaud J-C (1997) </w:t>
      </w:r>
      <w:r w:rsidRPr="00792C2A">
        <w:rPr>
          <w:rFonts w:cs="Arial"/>
          <w:bCs/>
          <w:szCs w:val="22"/>
          <w:lang w:eastAsia="en-GB" w:bidi="ar-SA"/>
        </w:rPr>
        <w:t xml:space="preserve">Administration of transgalacto-oligosaccharides increases fecal bifidobacteria and modifies colonic fermentation metabolism </w:t>
      </w:r>
      <w:r w:rsidRPr="009F4600">
        <w:rPr>
          <w:rFonts w:cs="Arial"/>
          <w:bCs/>
          <w:szCs w:val="22"/>
          <w:lang w:eastAsia="en-GB" w:bidi="ar-SA"/>
        </w:rPr>
        <w:t xml:space="preserve">in healthy humans. </w:t>
      </w:r>
      <w:r w:rsidRPr="009F4600">
        <w:rPr>
          <w:rFonts w:cs="Arial"/>
          <w:szCs w:val="22"/>
        </w:rPr>
        <w:t>J Nutr 127:444-8.</w:t>
      </w:r>
    </w:p>
    <w:p w14:paraId="1DC3833F" w14:textId="77777777" w:rsidR="006D00E5" w:rsidRPr="009F4600" w:rsidRDefault="006D00E5" w:rsidP="006D00E5">
      <w:pPr>
        <w:rPr>
          <w:rFonts w:cs="Arial"/>
          <w:szCs w:val="22"/>
        </w:rPr>
      </w:pPr>
    </w:p>
    <w:p w14:paraId="708EBA63" w14:textId="0186D9DF" w:rsidR="006D00E5" w:rsidRPr="009F4600" w:rsidRDefault="006D00E5" w:rsidP="006D00E5">
      <w:pPr>
        <w:rPr>
          <w:rFonts w:cs="Arial"/>
          <w:szCs w:val="22"/>
        </w:rPr>
      </w:pPr>
      <w:r w:rsidRPr="009F4600">
        <w:rPr>
          <w:rFonts w:cs="Arial"/>
          <w:szCs w:val="22"/>
        </w:rPr>
        <w:t>Canfora EE, van der Beek CM, Hermes GDA, Goossens GH, Jocken JWE, Holst JJ, van Eijk HM, Venema K, Smidt H, Zoetendal EG, Dejong CHC, Lenaerts K &amp; Blaak EE (2017) Supplementation of diet with galacto-oligosaccharides increases bifidobacteria, but not insulin sensitivity, in obese prediabetic individuals. Gastoenterol 153:87-97.</w:t>
      </w:r>
    </w:p>
    <w:p w14:paraId="2E915224" w14:textId="77777777" w:rsidR="006D00E5" w:rsidRPr="009F4600" w:rsidRDefault="006D00E5" w:rsidP="006D00E5">
      <w:pPr>
        <w:rPr>
          <w:rFonts w:cs="Arial"/>
          <w:szCs w:val="22"/>
        </w:rPr>
      </w:pPr>
    </w:p>
    <w:p w14:paraId="5C792AB7" w14:textId="77F9BDE4" w:rsidR="006D00E5" w:rsidRPr="009F4600" w:rsidRDefault="006D00E5" w:rsidP="006D00E5">
      <w:pPr>
        <w:rPr>
          <w:rFonts w:cs="Arial"/>
          <w:szCs w:val="22"/>
          <w:lang w:val="en" w:bidi="ar-SA"/>
        </w:rPr>
      </w:pPr>
      <w:r w:rsidRPr="009F4600">
        <w:rPr>
          <w:rFonts w:cs="Arial"/>
          <w:szCs w:val="22"/>
          <w:lang w:val="en"/>
        </w:rPr>
        <w:t>Cummings JH</w:t>
      </w:r>
      <w:r w:rsidR="0079769D">
        <w:rPr>
          <w:rFonts w:cs="Arial"/>
          <w:szCs w:val="22"/>
          <w:lang w:val="en"/>
        </w:rPr>
        <w:t xml:space="preserve"> (2001)</w:t>
      </w:r>
      <w:r w:rsidRPr="009F4600">
        <w:rPr>
          <w:rFonts w:cs="Arial"/>
          <w:szCs w:val="22"/>
          <w:lang w:val="en"/>
        </w:rPr>
        <w:t xml:space="preserve"> The effect of dietary fibre on fecal weight and composition. Ch</w:t>
      </w:r>
      <w:r w:rsidR="009E3FD5">
        <w:rPr>
          <w:rFonts w:cs="Arial"/>
          <w:szCs w:val="22"/>
          <w:lang w:val="en"/>
        </w:rPr>
        <w:t>apter</w:t>
      </w:r>
      <w:r w:rsidRPr="009F4600">
        <w:rPr>
          <w:rFonts w:cs="Arial"/>
          <w:szCs w:val="22"/>
          <w:lang w:val="en"/>
        </w:rPr>
        <w:t xml:space="preserve"> 4.4 In: Spiller GA</w:t>
      </w:r>
      <w:r w:rsidR="00260FDC">
        <w:rPr>
          <w:rFonts w:cs="Arial"/>
          <w:szCs w:val="22"/>
          <w:lang w:val="en"/>
        </w:rPr>
        <w:t xml:space="preserve"> (</w:t>
      </w:r>
      <w:r w:rsidRPr="009F4600">
        <w:rPr>
          <w:rFonts w:cs="Arial"/>
          <w:szCs w:val="22"/>
          <w:lang w:val="en"/>
        </w:rPr>
        <w:t>ed</w:t>
      </w:r>
      <w:r w:rsidR="00260FDC">
        <w:rPr>
          <w:rFonts w:cs="Arial"/>
          <w:szCs w:val="22"/>
          <w:lang w:val="en"/>
        </w:rPr>
        <w:t>)</w:t>
      </w:r>
      <w:r w:rsidRPr="009F4600">
        <w:rPr>
          <w:rFonts w:cs="Arial"/>
          <w:szCs w:val="22"/>
          <w:lang w:val="en"/>
        </w:rPr>
        <w:t xml:space="preserve"> </w:t>
      </w:r>
      <w:r w:rsidR="00841888">
        <w:rPr>
          <w:rFonts w:cs="Arial"/>
          <w:szCs w:val="22"/>
          <w:lang w:val="en"/>
        </w:rPr>
        <w:t xml:space="preserve">CRC </w:t>
      </w:r>
      <w:r w:rsidRPr="009F4600">
        <w:rPr>
          <w:rFonts w:cs="Arial"/>
          <w:szCs w:val="22"/>
          <w:lang w:val="en"/>
        </w:rPr>
        <w:t>Handbook of dietary fiber in human nutrition. 3rd ed</w:t>
      </w:r>
      <w:r w:rsidR="00260FDC">
        <w:rPr>
          <w:rFonts w:cs="Arial"/>
          <w:szCs w:val="22"/>
          <w:lang w:val="en"/>
        </w:rPr>
        <w:t xml:space="preserve">, </w:t>
      </w:r>
      <w:r w:rsidRPr="009F4600">
        <w:rPr>
          <w:rFonts w:cs="Arial"/>
          <w:szCs w:val="22"/>
          <w:lang w:val="en"/>
        </w:rPr>
        <w:t>CRC Press</w:t>
      </w:r>
      <w:r w:rsidR="00260FDC">
        <w:rPr>
          <w:rFonts w:cs="Arial"/>
          <w:szCs w:val="22"/>
          <w:lang w:val="en"/>
        </w:rPr>
        <w:t xml:space="preserve">, </w:t>
      </w:r>
      <w:r w:rsidR="00260FDC" w:rsidRPr="009F4600">
        <w:rPr>
          <w:rFonts w:cs="Arial"/>
          <w:szCs w:val="22"/>
          <w:lang w:val="en"/>
        </w:rPr>
        <w:t>F</w:t>
      </w:r>
      <w:r w:rsidR="00260FDC">
        <w:rPr>
          <w:rFonts w:cs="Arial"/>
          <w:szCs w:val="22"/>
          <w:lang w:val="en"/>
        </w:rPr>
        <w:t>lorida,</w:t>
      </w:r>
      <w:r w:rsidRPr="009F4600">
        <w:rPr>
          <w:rFonts w:cs="Arial"/>
          <w:szCs w:val="22"/>
          <w:lang w:val="en"/>
        </w:rPr>
        <w:t xml:space="preserve"> </w:t>
      </w:r>
      <w:r w:rsidR="00260FDC">
        <w:rPr>
          <w:rFonts w:cs="Arial"/>
          <w:szCs w:val="22"/>
          <w:lang w:val="en"/>
        </w:rPr>
        <w:t>pp</w:t>
      </w:r>
      <w:r w:rsidRPr="009F4600">
        <w:rPr>
          <w:rFonts w:cs="Arial"/>
          <w:szCs w:val="22"/>
          <w:lang w:val="en"/>
        </w:rPr>
        <w:t>.</w:t>
      </w:r>
      <w:r w:rsidR="00545D8D">
        <w:rPr>
          <w:rFonts w:cs="Arial"/>
          <w:szCs w:val="22"/>
          <w:lang w:val="en"/>
        </w:rPr>
        <w:t xml:space="preserve"> </w:t>
      </w:r>
      <w:r w:rsidR="009E3FD5">
        <w:rPr>
          <w:rFonts w:cs="Arial"/>
          <w:szCs w:val="22"/>
          <w:lang w:val="en"/>
        </w:rPr>
        <w:t>183-</w:t>
      </w:r>
      <w:r w:rsidRPr="009F4600">
        <w:rPr>
          <w:rFonts w:cs="Arial"/>
          <w:szCs w:val="22"/>
          <w:lang w:val="en"/>
        </w:rPr>
        <w:t>252</w:t>
      </w:r>
      <w:r w:rsidR="00260FDC">
        <w:rPr>
          <w:rFonts w:cs="Arial"/>
          <w:szCs w:val="22"/>
          <w:lang w:val="en"/>
        </w:rPr>
        <w:t>.</w:t>
      </w:r>
    </w:p>
    <w:p w14:paraId="2F68A086" w14:textId="77777777" w:rsidR="006D00E5" w:rsidRPr="009F4600" w:rsidRDefault="006D00E5" w:rsidP="006D00E5">
      <w:pPr>
        <w:rPr>
          <w:rFonts w:cs="Arial"/>
          <w:szCs w:val="22"/>
        </w:rPr>
      </w:pPr>
    </w:p>
    <w:p w14:paraId="5BE2F9B0" w14:textId="07436DB0" w:rsidR="006D00E5" w:rsidRPr="00E2010E" w:rsidRDefault="006D00E5" w:rsidP="006D00E5">
      <w:pPr>
        <w:rPr>
          <w:rFonts w:cs="Arial"/>
          <w:szCs w:val="22"/>
          <w:lang w:eastAsia="en-GB" w:bidi="ar-SA"/>
        </w:rPr>
      </w:pPr>
      <w:r w:rsidRPr="009F4600">
        <w:rPr>
          <w:rFonts w:cs="Arial"/>
          <w:szCs w:val="22"/>
        </w:rPr>
        <w:t xml:space="preserve">Davis LMG, Martinez I, Walter J &amp; Hutkins R (2010) </w:t>
      </w:r>
      <w:r w:rsidRPr="009F4600">
        <w:rPr>
          <w:rFonts w:cs="Arial"/>
          <w:szCs w:val="22"/>
          <w:lang w:eastAsia="en-GB" w:bidi="ar-SA"/>
        </w:rPr>
        <w:t xml:space="preserve">A dose dependent impact of prebiotic galactooligosaccharides on the intestinal microbiota </w:t>
      </w:r>
      <w:r w:rsidRPr="00E2010E">
        <w:rPr>
          <w:rFonts w:cs="Arial"/>
          <w:szCs w:val="22"/>
          <w:lang w:eastAsia="en-GB" w:bidi="ar-SA"/>
        </w:rPr>
        <w:t>of healthy adults. Int J Food Micro 144:285-92.</w:t>
      </w:r>
    </w:p>
    <w:p w14:paraId="2D91B9F1" w14:textId="77777777" w:rsidR="006D00E5" w:rsidRPr="00E2010E" w:rsidRDefault="006D00E5" w:rsidP="006D00E5">
      <w:pPr>
        <w:rPr>
          <w:rFonts w:cs="Arial"/>
          <w:szCs w:val="22"/>
          <w:lang w:eastAsia="en-GB" w:bidi="ar-SA"/>
        </w:rPr>
      </w:pPr>
    </w:p>
    <w:p w14:paraId="31E50AE6" w14:textId="48CE27FF" w:rsidR="0061020E" w:rsidRPr="00EE58F3" w:rsidRDefault="0061020E" w:rsidP="0061020E">
      <w:pPr>
        <w:pStyle w:val="CommentText"/>
        <w:rPr>
          <w:rFonts w:cs="Arial"/>
          <w:noProof/>
          <w:sz w:val="22"/>
          <w:szCs w:val="22"/>
        </w:rPr>
      </w:pPr>
      <w:r w:rsidRPr="00EE58F3">
        <w:rPr>
          <w:rFonts w:cs="Arial"/>
          <w:noProof/>
          <w:sz w:val="22"/>
          <w:szCs w:val="22"/>
        </w:rPr>
        <w:t>Demonty I, Ras RT, van der Knaap HCM, Duchateau GSMJE, Meijer L, Zock PL, Geleijnse JM, Trautwein EA (2009) Continuous dose-response relationship of the LDL-cholesterol-lowering effect of phytosterol intake. J Nutr 139(2):271–84.</w:t>
      </w:r>
    </w:p>
    <w:p w14:paraId="23B453D5" w14:textId="77777777" w:rsidR="006D00E5" w:rsidRDefault="006D00E5" w:rsidP="006D00E5">
      <w:pPr>
        <w:rPr>
          <w:rFonts w:cs="Arial"/>
          <w:szCs w:val="22"/>
        </w:rPr>
      </w:pPr>
    </w:p>
    <w:p w14:paraId="33B5763E" w14:textId="078D1075" w:rsidR="00622FCD" w:rsidRDefault="00622FCD" w:rsidP="006D00E5">
      <w:pPr>
        <w:rPr>
          <w:lang w:bidi="ar-SA"/>
        </w:rPr>
      </w:pPr>
      <w:r>
        <w:rPr>
          <w:lang w:bidi="ar-SA"/>
        </w:rPr>
        <w:t xml:space="preserve">FDA (2016) </w:t>
      </w:r>
      <w:r w:rsidR="007F0D9D">
        <w:rPr>
          <w:lang w:bidi="ar-SA"/>
        </w:rPr>
        <w:t xml:space="preserve">Science review of isolated and synthetic non-digestible carbohydrates. </w:t>
      </w:r>
      <w:r w:rsidR="007F0D9D" w:rsidRPr="00E2010E">
        <w:rPr>
          <w:rFonts w:cs="Arial"/>
          <w:szCs w:val="22"/>
        </w:rPr>
        <w:t>U</w:t>
      </w:r>
      <w:r w:rsidR="007F0D9D">
        <w:rPr>
          <w:rFonts w:cs="Arial"/>
          <w:szCs w:val="22"/>
        </w:rPr>
        <w:t>nited States</w:t>
      </w:r>
      <w:r w:rsidR="007F0D9D" w:rsidRPr="00622FCD">
        <w:rPr>
          <w:rFonts w:cs="Arial"/>
          <w:szCs w:val="22"/>
        </w:rPr>
        <w:t xml:space="preserve"> </w:t>
      </w:r>
      <w:r w:rsidR="007F0D9D" w:rsidRPr="00E2010E">
        <w:rPr>
          <w:rFonts w:cs="Arial"/>
          <w:szCs w:val="22"/>
        </w:rPr>
        <w:t>Departmen</w:t>
      </w:r>
      <w:r w:rsidR="007F0D9D">
        <w:rPr>
          <w:rFonts w:cs="Arial"/>
          <w:szCs w:val="22"/>
        </w:rPr>
        <w:t>t of Health and Human Services, Food and Drug Administration.</w:t>
      </w:r>
    </w:p>
    <w:p w14:paraId="31936A25" w14:textId="6E362F77" w:rsidR="006D00E5" w:rsidRDefault="006D00E5" w:rsidP="006D00E5">
      <w:pPr>
        <w:rPr>
          <w:rFonts w:cs="Arial"/>
          <w:szCs w:val="22"/>
        </w:rPr>
      </w:pPr>
    </w:p>
    <w:p w14:paraId="7F5BD84B" w14:textId="474D365E" w:rsidR="006D00E5" w:rsidRDefault="006D00E5" w:rsidP="006D00E5">
      <w:pPr>
        <w:rPr>
          <w:rFonts w:cs="Arial"/>
          <w:szCs w:val="22"/>
        </w:rPr>
      </w:pPr>
      <w:r>
        <w:rPr>
          <w:rFonts w:cs="Arial"/>
          <w:szCs w:val="22"/>
        </w:rPr>
        <w:t xml:space="preserve">FSANZ (2001) A277 - Inulin and fructooligosaccharides as dietary fibre: full assessment report and regulatory impact assessment. Canberra: FSANZ. </w:t>
      </w:r>
      <w:r w:rsidRPr="0072559D">
        <w:rPr>
          <w:rFonts w:cs="Arial"/>
          <w:szCs w:val="22"/>
        </w:rPr>
        <w:t>https://www.foodstandards.gov.au/code/applications/documents/A277_FAR.doc</w:t>
      </w:r>
    </w:p>
    <w:p w14:paraId="0185A0B3" w14:textId="77777777" w:rsidR="006D00E5" w:rsidRDefault="006D00E5" w:rsidP="006D00E5">
      <w:pPr>
        <w:rPr>
          <w:rFonts w:cs="Arial"/>
          <w:szCs w:val="22"/>
        </w:rPr>
      </w:pPr>
    </w:p>
    <w:p w14:paraId="7E72926B" w14:textId="71F16973" w:rsidR="006D00E5" w:rsidRDefault="0079769D" w:rsidP="006D00E5">
      <w:pPr>
        <w:rPr>
          <w:rFonts w:cs="Arial"/>
          <w:szCs w:val="22"/>
        </w:rPr>
      </w:pPr>
      <w:r>
        <w:rPr>
          <w:rFonts w:cs="Arial"/>
          <w:szCs w:val="22"/>
        </w:rPr>
        <w:t>FSANZ (2004)</w:t>
      </w:r>
      <w:r w:rsidR="006D00E5">
        <w:rPr>
          <w:rFonts w:cs="Arial"/>
          <w:szCs w:val="22"/>
        </w:rPr>
        <w:t xml:space="preserve"> A491 - Resistant maltodextrin as dietary fibre: final assessment report. Canberra: FSANZ. </w:t>
      </w:r>
      <w:r w:rsidR="006D00E5" w:rsidRPr="003D16A6">
        <w:t>https://www.foodstandards.gov.au/code/applications/documents/A491%20Maltodextrin%20FAR%20Final.doc</w:t>
      </w:r>
    </w:p>
    <w:p w14:paraId="0C681733" w14:textId="77777777" w:rsidR="006D00E5" w:rsidRDefault="006D00E5" w:rsidP="006D00E5">
      <w:pPr>
        <w:rPr>
          <w:rFonts w:cs="Arial"/>
          <w:szCs w:val="22"/>
        </w:rPr>
      </w:pPr>
    </w:p>
    <w:p w14:paraId="104EB601" w14:textId="4EB91617" w:rsidR="006D00E5" w:rsidRPr="0072559D" w:rsidRDefault="006D00E5" w:rsidP="006D00E5">
      <w:pPr>
        <w:rPr>
          <w:rFonts w:cs="Arial"/>
          <w:noProof/>
          <w:szCs w:val="22"/>
        </w:rPr>
      </w:pPr>
      <w:r w:rsidRPr="00E2010E">
        <w:rPr>
          <w:rFonts w:cs="Arial"/>
          <w:noProof/>
          <w:szCs w:val="22"/>
        </w:rPr>
        <w:t>FSANZ (2010) Consideration of the effect of a 1:1 isomer mix of conjugated linoleic acid on HDL- and LDL-cholesterol levels (A1005)</w:t>
      </w:r>
      <w:r>
        <w:rPr>
          <w:rFonts w:cs="Arial"/>
          <w:noProof/>
          <w:szCs w:val="22"/>
        </w:rPr>
        <w:t>:</w:t>
      </w:r>
      <w:r w:rsidRPr="00E2010E">
        <w:rPr>
          <w:rFonts w:cs="Arial"/>
          <w:noProof/>
          <w:szCs w:val="22"/>
        </w:rPr>
        <w:t xml:space="preserve"> </w:t>
      </w:r>
      <w:r>
        <w:rPr>
          <w:rFonts w:cs="Arial"/>
          <w:noProof/>
          <w:szCs w:val="22"/>
        </w:rPr>
        <w:t>s</w:t>
      </w:r>
      <w:r w:rsidRPr="00E2010E">
        <w:rPr>
          <w:rFonts w:cs="Arial"/>
          <w:noProof/>
          <w:szCs w:val="22"/>
        </w:rPr>
        <w:t>upporting document 1. FSANZ, Canberra</w:t>
      </w:r>
      <w:r>
        <w:rPr>
          <w:rFonts w:cs="Arial"/>
          <w:noProof/>
          <w:szCs w:val="22"/>
        </w:rPr>
        <w:t xml:space="preserve">. </w:t>
      </w:r>
      <w:r w:rsidRPr="00852010">
        <w:rPr>
          <w:rFonts w:cs="Arial"/>
          <w:noProof/>
          <w:szCs w:val="22"/>
        </w:rPr>
        <w:t>https://www.foodstandards.gov.au/code/applications/Documents/A1005%20Tonalin%20CLA%20SD1%20Lipids.pdf</w:t>
      </w:r>
    </w:p>
    <w:p w14:paraId="36A8F9DD" w14:textId="77777777" w:rsidR="006D00E5" w:rsidRDefault="006D00E5" w:rsidP="006D00E5">
      <w:pPr>
        <w:rPr>
          <w:rFonts w:cs="Arial"/>
          <w:szCs w:val="22"/>
        </w:rPr>
      </w:pPr>
      <w:r>
        <w:rPr>
          <w:rFonts w:cs="Arial"/>
          <w:szCs w:val="22"/>
        </w:rPr>
        <w:t xml:space="preserve"> </w:t>
      </w:r>
    </w:p>
    <w:p w14:paraId="0D86F807" w14:textId="05513F0E" w:rsidR="005A63DF" w:rsidRDefault="005859A1" w:rsidP="005A63DF">
      <w:r>
        <w:rPr>
          <w:rFonts w:cs="Arial"/>
          <w:szCs w:val="22"/>
        </w:rPr>
        <w:t xml:space="preserve">FSANZ (2016) </w:t>
      </w:r>
      <w:r w:rsidR="005A63DF">
        <w:t>Systematic review of the evidence for a relationship between β-glucan from oats or barley and peak postprandial blood glucose concentration</w:t>
      </w:r>
      <w:r w:rsidR="00C71F09">
        <w:t>.</w:t>
      </w:r>
    </w:p>
    <w:p w14:paraId="27F105A3" w14:textId="0DE5E416" w:rsidR="005859A1" w:rsidRDefault="005A63DF" w:rsidP="005A63DF">
      <w:pPr>
        <w:rPr>
          <w:rFonts w:cs="Arial"/>
          <w:szCs w:val="22"/>
        </w:rPr>
      </w:pPr>
      <w:r w:rsidRPr="003B490D">
        <w:lastRenderedPageBreak/>
        <w:t>https://www.foodstandards.gov.au/consumer/labelling/nutrition/Documents/Beta-glucan%20glucose%20review.pdf</w:t>
      </w:r>
    </w:p>
    <w:p w14:paraId="6C7B4461" w14:textId="77777777" w:rsidR="005A63DF" w:rsidRDefault="005A63DF" w:rsidP="006D00E5">
      <w:pPr>
        <w:rPr>
          <w:rFonts w:cs="Arial"/>
          <w:szCs w:val="22"/>
        </w:rPr>
      </w:pPr>
    </w:p>
    <w:p w14:paraId="0B86614A" w14:textId="56F4BE01" w:rsidR="006D00E5" w:rsidRPr="002103F1" w:rsidRDefault="0079769D" w:rsidP="006D00E5">
      <w:pPr>
        <w:rPr>
          <w:rFonts w:cs="Arial"/>
          <w:szCs w:val="22"/>
        </w:rPr>
      </w:pPr>
      <w:r>
        <w:rPr>
          <w:rFonts w:cs="Arial"/>
          <w:szCs w:val="22"/>
        </w:rPr>
        <w:t>FSANZ (2018)</w:t>
      </w:r>
      <w:r w:rsidR="006D00E5">
        <w:rPr>
          <w:rFonts w:cs="Arial"/>
          <w:szCs w:val="22"/>
        </w:rPr>
        <w:t xml:space="preserve"> </w:t>
      </w:r>
      <w:r w:rsidR="006D00E5" w:rsidRPr="00367F96">
        <w:rPr>
          <w:szCs w:val="22"/>
          <w:lang w:eastAsia="en-AU"/>
        </w:rPr>
        <w:t>Assessment of resistant starch as dietary fibre; and suitability of AOAC 2002.02 as a regulatory method of analysis</w:t>
      </w:r>
      <w:r w:rsidR="006D00E5">
        <w:rPr>
          <w:szCs w:val="22"/>
          <w:lang w:eastAsia="en-AU"/>
        </w:rPr>
        <w:t xml:space="preserve"> (</w:t>
      </w:r>
      <w:r w:rsidR="006D00E5">
        <w:rPr>
          <w:rFonts w:cs="Arial"/>
          <w:szCs w:val="22"/>
        </w:rPr>
        <w:t xml:space="preserve">A1142): </w:t>
      </w:r>
      <w:r w:rsidR="006D00E5">
        <w:rPr>
          <w:szCs w:val="22"/>
          <w:lang w:eastAsia="en-AU"/>
        </w:rPr>
        <w:t xml:space="preserve">supporting document 1. FSANZ, Canberra. </w:t>
      </w:r>
      <w:r w:rsidR="006D00E5" w:rsidRPr="005A0E56">
        <w:rPr>
          <w:rFonts w:cs="Arial"/>
          <w:szCs w:val="22"/>
        </w:rPr>
        <w:t>https://www.</w:t>
      </w:r>
      <w:r w:rsidR="006D00E5" w:rsidRPr="002103F1">
        <w:rPr>
          <w:rFonts w:cs="Arial"/>
          <w:szCs w:val="22"/>
        </w:rPr>
        <w:t>foodstandards.gov.au/code/applications/Documents/A1142%20SD1.docx</w:t>
      </w:r>
    </w:p>
    <w:p w14:paraId="3D4F0ABB" w14:textId="77777777" w:rsidR="006D00E5" w:rsidRPr="002103F1" w:rsidRDefault="006D00E5" w:rsidP="006D00E5">
      <w:pPr>
        <w:rPr>
          <w:rFonts w:cs="Arial"/>
          <w:szCs w:val="22"/>
        </w:rPr>
      </w:pPr>
    </w:p>
    <w:p w14:paraId="34818705" w14:textId="405A3898" w:rsidR="00CC7FE6" w:rsidRDefault="00CC7FE6" w:rsidP="006D00E5">
      <w:pPr>
        <w:rPr>
          <w:rFonts w:cs="Arial"/>
          <w:szCs w:val="22"/>
        </w:rPr>
      </w:pPr>
      <w:r w:rsidRPr="002103F1">
        <w:t>Higgins JPT, Thompson SG, Deeks JJ, Altman DG (2003) Measuring inconsistency in meta</w:t>
      </w:r>
      <w:r w:rsidR="002103F1" w:rsidRPr="002103F1">
        <w:t>-</w:t>
      </w:r>
      <w:r w:rsidRPr="002103F1">
        <w:t>analyses. BMJ 327:557–60.</w:t>
      </w:r>
    </w:p>
    <w:p w14:paraId="7D54DD2F" w14:textId="77777777" w:rsidR="006D00E5" w:rsidRDefault="006D00E5" w:rsidP="006D00E5">
      <w:pPr>
        <w:rPr>
          <w:rFonts w:cs="Arial"/>
          <w:szCs w:val="22"/>
        </w:rPr>
      </w:pPr>
    </w:p>
    <w:p w14:paraId="3BB65986" w14:textId="52628C39" w:rsidR="006D00E5" w:rsidRPr="00792C2A" w:rsidRDefault="006D00E5" w:rsidP="006D00E5">
      <w:pPr>
        <w:rPr>
          <w:rFonts w:cs="Arial"/>
          <w:szCs w:val="22"/>
          <w:lang w:eastAsia="en-GB" w:bidi="ar-SA"/>
        </w:rPr>
      </w:pPr>
      <w:r w:rsidRPr="00E2010E">
        <w:rPr>
          <w:rFonts w:cs="Arial"/>
          <w:szCs w:val="22"/>
        </w:rPr>
        <w:t>Ito M, Deguchi Y, Miyamori A, Matsumoto K, Kikuchi H, Matsumoto K, Kobayashi Y, Yajima T &amp; Kan T (1990) Effects of administration of galactooligosaccharides on the human faecal</w:t>
      </w:r>
      <w:r w:rsidRPr="00792C2A">
        <w:rPr>
          <w:rFonts w:cs="Arial"/>
          <w:szCs w:val="22"/>
        </w:rPr>
        <w:t xml:space="preserve"> microflora, stool weight and abdominal sensation. Microb Ecol Health Dis. 3:285-92.</w:t>
      </w:r>
    </w:p>
    <w:p w14:paraId="5D95307C" w14:textId="77777777" w:rsidR="006D00E5" w:rsidRPr="00792C2A" w:rsidRDefault="006D00E5" w:rsidP="006D00E5">
      <w:pPr>
        <w:rPr>
          <w:rFonts w:cs="Arial"/>
          <w:szCs w:val="22"/>
        </w:rPr>
      </w:pPr>
    </w:p>
    <w:p w14:paraId="3D8C6CF9" w14:textId="58A71FCF" w:rsidR="005F3F67" w:rsidRDefault="005F3F67" w:rsidP="006D00E5">
      <w:pPr>
        <w:rPr>
          <w:rFonts w:cs="Arial"/>
          <w:szCs w:val="22"/>
        </w:rPr>
      </w:pPr>
      <w:r>
        <w:rPr>
          <w:rFonts w:cs="Arial"/>
          <w:szCs w:val="22"/>
        </w:rPr>
        <w:t>Knopp JL, Hol</w:t>
      </w:r>
      <w:r w:rsidR="0079769D">
        <w:rPr>
          <w:rFonts w:cs="Arial"/>
          <w:szCs w:val="22"/>
        </w:rPr>
        <w:t>der-Pearson L &amp; Chase JG (2019)</w:t>
      </w:r>
      <w:r>
        <w:rPr>
          <w:rFonts w:cs="Arial"/>
          <w:szCs w:val="22"/>
        </w:rPr>
        <w:t xml:space="preserve"> Insulin units and conversion factors: a story of truth, boots, and faster half-truths. J Diabetes Sci Technol 13:597-600.</w:t>
      </w:r>
    </w:p>
    <w:p w14:paraId="678D7838" w14:textId="77777777" w:rsidR="005F3F67" w:rsidRPr="00792C2A" w:rsidRDefault="005F3F67" w:rsidP="006D00E5">
      <w:pPr>
        <w:rPr>
          <w:rFonts w:cs="Arial"/>
          <w:szCs w:val="22"/>
        </w:rPr>
      </w:pPr>
    </w:p>
    <w:p w14:paraId="0370E2E4" w14:textId="2E0493B7" w:rsidR="00D65CCF" w:rsidRDefault="00D65CCF" w:rsidP="006D00E5">
      <w:r>
        <w:t>McCleary BV</w:t>
      </w:r>
      <w:r w:rsidR="0079769D">
        <w:t xml:space="preserve"> (2019)</w:t>
      </w:r>
      <w:r>
        <w:t>. Total Dietary Fiber (CODEX Definition) in Foods and Food Ingredients by a Rapid Enzymatic</w:t>
      </w:r>
      <w:r>
        <w:rPr>
          <w:rFonts w:ascii="Cambria Math" w:hAnsi="Cambria Math" w:cs="Cambria Math"/>
        </w:rPr>
        <w:t>‐</w:t>
      </w:r>
      <w:r>
        <w:t>Gravimetric Method and Liquid Chromatography: Collaborative Study, F</w:t>
      </w:r>
      <w:r w:rsidR="0079769D">
        <w:t>irst Action 2017.16. J AOAC Int 102(1):196-207.</w:t>
      </w:r>
    </w:p>
    <w:p w14:paraId="3C922755" w14:textId="77777777" w:rsidR="00D65CCF" w:rsidRDefault="00D65CCF" w:rsidP="006D00E5">
      <w:pPr>
        <w:rPr>
          <w:rFonts w:cs="Arial"/>
          <w:szCs w:val="22"/>
        </w:rPr>
      </w:pPr>
    </w:p>
    <w:p w14:paraId="63BEE1B1" w14:textId="11432138" w:rsidR="006D00E5" w:rsidRPr="00792C2A" w:rsidRDefault="006D00E5" w:rsidP="006D00E5">
      <w:pPr>
        <w:rPr>
          <w:rFonts w:cs="Arial"/>
          <w:szCs w:val="22"/>
        </w:rPr>
      </w:pPr>
      <w:r w:rsidRPr="00792C2A">
        <w:rPr>
          <w:rFonts w:cs="Arial"/>
          <w:szCs w:val="22"/>
        </w:rPr>
        <w:t xml:space="preserve">Morel FB, Dai Q, Ni J, Thomas D, Parnet P &amp; Fanҫa-Berthon P (2015). </w:t>
      </w:r>
      <w:r>
        <w:rPr>
          <w:rFonts w:cs="Arial"/>
          <w:szCs w:val="22"/>
        </w:rPr>
        <w:t>α</w:t>
      </w:r>
      <w:r w:rsidRPr="00792C2A">
        <w:rPr>
          <w:rFonts w:cs="Arial"/>
          <w:szCs w:val="22"/>
        </w:rPr>
        <w:t>-galacto-oligosaccharides dose-dependently reduce appetite and decrease inflammation in overweight adults. J Nutr 145:2052-9.</w:t>
      </w:r>
    </w:p>
    <w:p w14:paraId="2CE5418E" w14:textId="77777777" w:rsidR="006D00E5" w:rsidRPr="00792C2A" w:rsidRDefault="006D00E5" w:rsidP="006D00E5">
      <w:pPr>
        <w:rPr>
          <w:rFonts w:cs="Arial"/>
          <w:szCs w:val="22"/>
          <w:lang w:bidi="ar-SA"/>
        </w:rPr>
      </w:pPr>
    </w:p>
    <w:p w14:paraId="1D20DFC0" w14:textId="1FB8036E" w:rsidR="006E0FB7" w:rsidRDefault="00630B37" w:rsidP="00BF1654">
      <w:r>
        <w:t>NHMRC,</w:t>
      </w:r>
      <w:r w:rsidRPr="00630B37">
        <w:t xml:space="preserve"> </w:t>
      </w:r>
      <w:r>
        <w:t>Australian Government Department of Health and Ageing, New Zealand Ministry of Health (2006). Nutrient reference values for Australia and New Zealand. NHMRC, Canberra.</w:t>
      </w:r>
    </w:p>
    <w:p w14:paraId="1EF5A3F1" w14:textId="77777777" w:rsidR="006E0FB7" w:rsidRDefault="006E0FB7" w:rsidP="00BF1654"/>
    <w:p w14:paraId="3C6F2199" w14:textId="5A833470" w:rsidR="00BF1654" w:rsidRPr="00BF1654" w:rsidRDefault="00BF1654" w:rsidP="00BF1654">
      <w:r>
        <w:t>Nordestgaard BG, Langsted A, Mora S, Kolovou G, Baum H, Bruckert E, Watts GF, Sypniewska G, Wiklund O, Bor</w:t>
      </w:r>
      <w:r w:rsidR="00E37DFB">
        <w:rPr>
          <w:rFonts w:eastAsia="Batang"/>
          <w:noProof/>
          <w:color w:val="000000"/>
        </w:rPr>
        <w:t>é</w:t>
      </w:r>
      <w:r>
        <w:t xml:space="preserve">n J, Chapman MJ, Cobbaert C, Descamps OS, von Eckardstein A, Kamstrup PR, Pulkki K, Kronenberg F, Remaley AT, Rifai N, Ros E &amp; Langlois M (2016). </w:t>
      </w:r>
      <w:r w:rsidRPr="00BF1654">
        <w:t>Fasting is not routinely required for determination of a lipid profile: clinical and laboratory implications including flagging at desirable concentration cut-points—a joint consensus statement from the European Atherosclerosis Society and European Federation of Clinical Chemistry and Laboratory Medicine</w:t>
      </w:r>
      <w:r>
        <w:t>. Eur Heart J 37:1944-58.</w:t>
      </w:r>
    </w:p>
    <w:p w14:paraId="470D6C9B" w14:textId="77777777" w:rsidR="00BF1654" w:rsidRPr="00BF1654" w:rsidRDefault="00BF1654" w:rsidP="00BF1654"/>
    <w:p w14:paraId="7210C0E5" w14:textId="67A0AF19" w:rsidR="006D00E5" w:rsidRPr="00792C2A" w:rsidRDefault="006D00E5" w:rsidP="006D00E5">
      <w:pPr>
        <w:rPr>
          <w:rFonts w:cs="Arial"/>
          <w:szCs w:val="22"/>
          <w:lang w:bidi="ar-SA"/>
        </w:rPr>
      </w:pPr>
      <w:r w:rsidRPr="00792C2A">
        <w:rPr>
          <w:rFonts w:cs="Arial"/>
          <w:szCs w:val="22"/>
          <w:lang w:bidi="ar-SA"/>
        </w:rPr>
        <w:t>Pedersen C, Gallagher E, Horton F, Ellis RJ, Ijaz UZ, Wu H, Jaiyeola E, Diribe O, Duparc T, Cani PD, Gibson GR, Hinton P, Wright J, La Ragione R &amp; Robertson MD (2016). Host-microbiome interactions in human type 2 diabetes following prebiotic fibre (galacto-oligosaccharide) intake. Brit J Nutr 116:1869-77.</w:t>
      </w:r>
    </w:p>
    <w:p w14:paraId="07C50901" w14:textId="77777777" w:rsidR="006D00E5" w:rsidRPr="00792C2A" w:rsidRDefault="006D00E5" w:rsidP="006D00E5">
      <w:pPr>
        <w:rPr>
          <w:rFonts w:cs="Arial"/>
          <w:szCs w:val="22"/>
          <w:lang w:bidi="ar-SA"/>
        </w:rPr>
      </w:pPr>
    </w:p>
    <w:p w14:paraId="2CF72FED" w14:textId="5A8F276C" w:rsidR="006D00E5" w:rsidRPr="00792C2A" w:rsidRDefault="006D00E5" w:rsidP="006D00E5">
      <w:pPr>
        <w:rPr>
          <w:rFonts w:cs="Arial"/>
          <w:szCs w:val="22"/>
        </w:rPr>
      </w:pPr>
      <w:r w:rsidRPr="00792C2A">
        <w:rPr>
          <w:rFonts w:cs="Arial"/>
          <w:szCs w:val="22"/>
          <w:lang w:eastAsia="en-GB" w:bidi="ar-SA"/>
        </w:rPr>
        <w:t>Piirainen L, Kekkonen RA, Kajander K, Ahlroos T, Tynkkynen S, Nevala R &amp; Korpela R (2008).</w:t>
      </w:r>
      <w:r w:rsidRPr="00792C2A">
        <w:rPr>
          <w:rFonts w:cs="Arial"/>
          <w:bCs/>
          <w:szCs w:val="22"/>
          <w:lang w:eastAsia="en-GB" w:bidi="ar-SA"/>
        </w:rPr>
        <w:t xml:space="preserve"> In school-aged children a combination of galacto-oligosaccharides and </w:t>
      </w:r>
      <w:r w:rsidRPr="00792C2A">
        <w:rPr>
          <w:rFonts w:cs="Arial"/>
          <w:bCs/>
          <w:i/>
          <w:iCs/>
          <w:szCs w:val="22"/>
          <w:lang w:eastAsia="en-GB" w:bidi="ar-SA"/>
        </w:rPr>
        <w:t xml:space="preserve">Lactobacillus </w:t>
      </w:r>
      <w:r w:rsidRPr="00792C2A">
        <w:rPr>
          <w:rFonts w:cs="Arial"/>
          <w:bCs/>
          <w:szCs w:val="22"/>
          <w:lang w:eastAsia="en-GB" w:bidi="ar-SA"/>
        </w:rPr>
        <w:t xml:space="preserve">GG increases bifidobacteria more than </w:t>
      </w:r>
      <w:r w:rsidRPr="00792C2A">
        <w:rPr>
          <w:rFonts w:cs="Arial"/>
          <w:bCs/>
          <w:i/>
          <w:iCs/>
          <w:szCs w:val="22"/>
          <w:lang w:eastAsia="en-GB" w:bidi="ar-SA"/>
        </w:rPr>
        <w:t>Lactobacillus</w:t>
      </w:r>
      <w:r w:rsidRPr="00792C2A">
        <w:rPr>
          <w:rFonts w:cs="Arial"/>
          <w:bCs/>
          <w:szCs w:val="22"/>
          <w:lang w:eastAsia="en-GB" w:bidi="ar-SA"/>
        </w:rPr>
        <w:t xml:space="preserve"> GG on its own. </w:t>
      </w:r>
      <w:r w:rsidRPr="00792C2A">
        <w:rPr>
          <w:rFonts w:cs="Arial"/>
          <w:szCs w:val="22"/>
          <w:lang w:eastAsia="en-GB" w:bidi="ar-SA"/>
        </w:rPr>
        <w:t>Ann Nutr Metab 52:204–8.</w:t>
      </w:r>
    </w:p>
    <w:p w14:paraId="21F6524B" w14:textId="77777777" w:rsidR="006D00E5" w:rsidRPr="00792C2A" w:rsidRDefault="006D00E5" w:rsidP="006D00E5">
      <w:pPr>
        <w:rPr>
          <w:rFonts w:cs="Arial"/>
          <w:szCs w:val="22"/>
        </w:rPr>
      </w:pPr>
    </w:p>
    <w:p w14:paraId="21ED8D0D" w14:textId="77777777" w:rsidR="00BF1654" w:rsidRDefault="00BF1654" w:rsidP="00BF1654">
      <w:pPr>
        <w:rPr>
          <w:rFonts w:cs="Arial"/>
          <w:szCs w:val="22"/>
        </w:rPr>
      </w:pPr>
      <w:r>
        <w:rPr>
          <w:rFonts w:cs="Arial"/>
          <w:szCs w:val="22"/>
        </w:rPr>
        <w:t>Reynolds A, Mann J, Cummings J, Winter N, Mete E &amp; Te Morenga L (2019). Carbohydrate quality and human health: a series of systematic reviews and meta-analyses. The Lancet 393:434-45.</w:t>
      </w:r>
    </w:p>
    <w:p w14:paraId="3148EF76" w14:textId="77777777" w:rsidR="00BF1654" w:rsidRDefault="00BF1654" w:rsidP="00BF1654">
      <w:pPr>
        <w:rPr>
          <w:rFonts w:cs="Arial"/>
          <w:szCs w:val="22"/>
        </w:rPr>
      </w:pPr>
      <w:r>
        <w:rPr>
          <w:rFonts w:cs="Arial"/>
          <w:szCs w:val="22"/>
        </w:rPr>
        <w:t xml:space="preserve"> </w:t>
      </w:r>
    </w:p>
    <w:p w14:paraId="684BAE89" w14:textId="026C6CA7" w:rsidR="001E0B4D" w:rsidRDefault="001E0B4D" w:rsidP="006D00E5">
      <w:pPr>
        <w:rPr>
          <w:rFonts w:cs="Arial"/>
          <w:lang w:eastAsia="en-AU"/>
        </w:rPr>
      </w:pPr>
      <w:r w:rsidRPr="001E0B4D">
        <w:rPr>
          <w:rFonts w:cs="Arial"/>
          <w:lang w:eastAsia="en-AU"/>
        </w:rPr>
        <w:t>Sakata and Shinbo (2003</w:t>
      </w:r>
      <w:r>
        <w:rPr>
          <w:rFonts w:cs="Arial"/>
          <w:lang w:eastAsia="en-AU"/>
        </w:rPr>
        <w:t>)</w:t>
      </w:r>
      <w:r w:rsidR="005A63DF">
        <w:rPr>
          <w:rFonts w:cs="Arial"/>
          <w:lang w:eastAsia="en-AU"/>
        </w:rPr>
        <w:t>. Fecal weight and its daily fluctuation in young women. Part 2. Related parameters. Jpn J Public Health 50:890-6.</w:t>
      </w:r>
    </w:p>
    <w:p w14:paraId="53474726" w14:textId="77777777" w:rsidR="001E0B4D" w:rsidRDefault="001E0B4D" w:rsidP="006D00E5">
      <w:pPr>
        <w:rPr>
          <w:rFonts w:cs="Arial"/>
          <w:lang w:eastAsia="en-AU"/>
        </w:rPr>
      </w:pPr>
    </w:p>
    <w:p w14:paraId="01BFCDC2" w14:textId="157F64B6" w:rsidR="006D00E5" w:rsidRPr="00792C2A" w:rsidRDefault="006D00E5" w:rsidP="006D00E5">
      <w:pPr>
        <w:rPr>
          <w:rFonts w:cs="Arial"/>
          <w:szCs w:val="22"/>
        </w:rPr>
      </w:pPr>
      <w:r w:rsidRPr="00792C2A">
        <w:rPr>
          <w:rFonts w:cs="Arial"/>
          <w:szCs w:val="22"/>
        </w:rPr>
        <w:t>Scientific Advisory Committee on Nutrition (SACN</w:t>
      </w:r>
      <w:r>
        <w:rPr>
          <w:rFonts w:cs="Arial"/>
          <w:szCs w:val="22"/>
        </w:rPr>
        <w:t>)</w:t>
      </w:r>
      <w:r w:rsidRPr="00792C2A">
        <w:rPr>
          <w:rFonts w:cs="Arial"/>
          <w:szCs w:val="22"/>
        </w:rPr>
        <w:t xml:space="preserve"> </w:t>
      </w:r>
      <w:r>
        <w:rPr>
          <w:rFonts w:cs="Arial"/>
          <w:szCs w:val="22"/>
        </w:rPr>
        <w:t>(</w:t>
      </w:r>
      <w:r w:rsidRPr="00792C2A">
        <w:rPr>
          <w:rFonts w:cs="Arial"/>
          <w:szCs w:val="22"/>
        </w:rPr>
        <w:t>2008). Summary of narrative synthesis of the health effects of potential dietary fibre components. Government of the United Kingdom: Food Standards Agency / Medical Research Council Human Nutrition Research Group.</w:t>
      </w:r>
    </w:p>
    <w:p w14:paraId="36453C08" w14:textId="77777777" w:rsidR="006D00E5" w:rsidRPr="00792C2A" w:rsidRDefault="006D00E5" w:rsidP="006D00E5">
      <w:pPr>
        <w:rPr>
          <w:rFonts w:cs="Arial"/>
          <w:szCs w:val="22"/>
          <w:lang w:bidi="ar-SA"/>
        </w:rPr>
      </w:pPr>
    </w:p>
    <w:p w14:paraId="54A456C1" w14:textId="4FBF156D" w:rsidR="006D00E5" w:rsidRPr="00F04F9F" w:rsidRDefault="006D00E5" w:rsidP="006D00E5">
      <w:pPr>
        <w:rPr>
          <w:rFonts w:cs="Arial"/>
          <w:szCs w:val="22"/>
        </w:rPr>
      </w:pPr>
      <w:r w:rsidRPr="00F04F9F">
        <w:rPr>
          <w:rFonts w:cs="Arial"/>
          <w:szCs w:val="22"/>
        </w:rPr>
        <w:t>Slavin J (2013). Fibre and prebiotics: mechanisms and health benefits. Nutrients 5(4):1417-35.</w:t>
      </w:r>
    </w:p>
    <w:p w14:paraId="70A5C99E" w14:textId="3E21F515" w:rsidR="001F55A8" w:rsidRPr="00F04F9F" w:rsidRDefault="001F55A8" w:rsidP="006D00E5">
      <w:pPr>
        <w:rPr>
          <w:rFonts w:cs="Arial"/>
          <w:szCs w:val="22"/>
        </w:rPr>
      </w:pPr>
    </w:p>
    <w:p w14:paraId="2F9DF1DC" w14:textId="0C6F9288" w:rsidR="001F55A8" w:rsidRDefault="001F55A8" w:rsidP="006D00E5">
      <w:pPr>
        <w:rPr>
          <w:rFonts w:cs="Arial"/>
          <w:szCs w:val="22"/>
        </w:rPr>
      </w:pPr>
      <w:r w:rsidRPr="00F04F9F">
        <w:rPr>
          <w:rFonts w:cs="Arial"/>
          <w:szCs w:val="22"/>
        </w:rPr>
        <w:t>Sperber AD</w:t>
      </w:r>
      <w:r w:rsidR="003E2F54" w:rsidRPr="00F04F9F">
        <w:rPr>
          <w:rFonts w:cs="Arial"/>
          <w:szCs w:val="22"/>
        </w:rPr>
        <w:t>,</w:t>
      </w:r>
      <w:r w:rsidR="003E2F54" w:rsidRPr="00F04F9F">
        <w:rPr>
          <w:rFonts w:cs="Arial"/>
          <w:szCs w:val="22"/>
          <w:lang w:eastAsia="en-GB" w:bidi="ar-SA"/>
        </w:rPr>
        <w:t xml:space="preserve"> Dumitrascu D, Fukudo S, Gerson C, Ghoshal UC, Gwee KA, Hungin</w:t>
      </w:r>
      <w:r w:rsidR="00F04F9F" w:rsidRPr="00F04F9F">
        <w:rPr>
          <w:rFonts w:cs="Arial"/>
          <w:szCs w:val="22"/>
          <w:lang w:eastAsia="en-GB" w:bidi="ar-SA"/>
        </w:rPr>
        <w:t xml:space="preserve"> APS</w:t>
      </w:r>
      <w:r w:rsidR="003E2F54" w:rsidRPr="00F04F9F">
        <w:rPr>
          <w:rFonts w:cs="Arial"/>
          <w:szCs w:val="22"/>
          <w:lang w:eastAsia="en-GB" w:bidi="ar-SA"/>
        </w:rPr>
        <w:t>, Kang</w:t>
      </w:r>
      <w:r w:rsidR="00F04F9F" w:rsidRPr="00F04F9F">
        <w:rPr>
          <w:rFonts w:cs="Arial"/>
          <w:szCs w:val="22"/>
          <w:lang w:eastAsia="en-GB" w:bidi="ar-SA"/>
        </w:rPr>
        <w:t xml:space="preserve"> J</w:t>
      </w:r>
      <w:r w:rsidR="003E2F54" w:rsidRPr="00F04F9F">
        <w:rPr>
          <w:rFonts w:cs="Arial"/>
          <w:szCs w:val="22"/>
          <w:lang w:eastAsia="en-GB" w:bidi="ar-SA"/>
        </w:rPr>
        <w:t xml:space="preserve">, </w:t>
      </w:r>
      <w:r w:rsidR="00F04F9F" w:rsidRPr="00F04F9F">
        <w:rPr>
          <w:rFonts w:cs="Arial"/>
          <w:szCs w:val="22"/>
          <w:lang w:eastAsia="en-GB" w:bidi="ar-SA"/>
        </w:rPr>
        <w:t>M</w:t>
      </w:r>
      <w:r w:rsidR="003E2F54" w:rsidRPr="00F04F9F">
        <w:rPr>
          <w:rFonts w:cs="Arial"/>
          <w:szCs w:val="22"/>
          <w:lang w:eastAsia="en-GB" w:bidi="ar-SA"/>
        </w:rPr>
        <w:t>inhu</w:t>
      </w:r>
      <w:r w:rsidR="00F04F9F" w:rsidRPr="00F04F9F">
        <w:rPr>
          <w:rFonts w:cs="Arial"/>
          <w:szCs w:val="22"/>
          <w:lang w:eastAsia="en-GB" w:bidi="ar-SA"/>
        </w:rPr>
        <w:t xml:space="preserve"> C</w:t>
      </w:r>
      <w:r w:rsidR="003E2F54" w:rsidRPr="00F04F9F">
        <w:rPr>
          <w:rFonts w:cs="Arial"/>
          <w:szCs w:val="22"/>
          <w:lang w:eastAsia="en-GB" w:bidi="ar-SA"/>
        </w:rPr>
        <w:t>,</w:t>
      </w:r>
      <w:r w:rsidR="00F04F9F" w:rsidRPr="00F04F9F">
        <w:rPr>
          <w:rFonts w:cs="Arial"/>
          <w:szCs w:val="22"/>
          <w:lang w:eastAsia="en-GB" w:bidi="ar-SA"/>
        </w:rPr>
        <w:t xml:space="preserve"> </w:t>
      </w:r>
      <w:r w:rsidR="003E2F54" w:rsidRPr="00F04F9F">
        <w:rPr>
          <w:rFonts w:cs="Arial"/>
          <w:szCs w:val="22"/>
          <w:lang w:eastAsia="en-GB" w:bidi="ar-SA"/>
        </w:rPr>
        <w:t>Schmulson</w:t>
      </w:r>
      <w:r w:rsidR="00F04F9F" w:rsidRPr="00F04F9F">
        <w:rPr>
          <w:rFonts w:cs="Arial"/>
          <w:szCs w:val="22"/>
          <w:lang w:eastAsia="en-GB" w:bidi="ar-SA"/>
        </w:rPr>
        <w:t xml:space="preserve"> M</w:t>
      </w:r>
      <w:r w:rsidR="003E2F54" w:rsidRPr="00F04F9F">
        <w:rPr>
          <w:rFonts w:cs="Arial"/>
          <w:szCs w:val="22"/>
          <w:lang w:eastAsia="en-GB" w:bidi="ar-SA"/>
        </w:rPr>
        <w:t>,</w:t>
      </w:r>
      <w:r w:rsidR="00F04F9F" w:rsidRPr="00F04F9F">
        <w:rPr>
          <w:rFonts w:cs="Arial"/>
          <w:szCs w:val="22"/>
          <w:lang w:eastAsia="en-GB" w:bidi="ar-SA"/>
        </w:rPr>
        <w:t xml:space="preserve"> </w:t>
      </w:r>
      <w:r w:rsidR="003E2F54" w:rsidRPr="00F04F9F">
        <w:rPr>
          <w:rFonts w:cs="Arial"/>
          <w:szCs w:val="22"/>
          <w:lang w:eastAsia="en-GB" w:bidi="ar-SA"/>
        </w:rPr>
        <w:t>Bolotin</w:t>
      </w:r>
      <w:r w:rsidR="00F04F9F" w:rsidRPr="00F04F9F">
        <w:rPr>
          <w:rFonts w:cs="Arial"/>
          <w:szCs w:val="22"/>
          <w:lang w:eastAsia="en-GB" w:bidi="ar-SA"/>
        </w:rPr>
        <w:t xml:space="preserve"> A</w:t>
      </w:r>
      <w:r w:rsidR="003E2F54" w:rsidRPr="00F04F9F">
        <w:rPr>
          <w:rFonts w:cs="Arial"/>
          <w:szCs w:val="22"/>
          <w:lang w:eastAsia="en-GB" w:bidi="ar-SA"/>
        </w:rPr>
        <w:t>,</w:t>
      </w:r>
      <w:r w:rsidR="00F04F9F" w:rsidRPr="00F04F9F">
        <w:rPr>
          <w:rFonts w:cs="Arial"/>
          <w:szCs w:val="22"/>
          <w:lang w:eastAsia="en-GB" w:bidi="ar-SA"/>
        </w:rPr>
        <w:t xml:space="preserve"> </w:t>
      </w:r>
      <w:r w:rsidR="003E2F54" w:rsidRPr="00F04F9F">
        <w:rPr>
          <w:rFonts w:cs="Arial"/>
          <w:szCs w:val="22"/>
          <w:lang w:eastAsia="en-GB" w:bidi="ar-SA"/>
        </w:rPr>
        <w:t>Friger</w:t>
      </w:r>
      <w:r w:rsidR="00F04F9F" w:rsidRPr="00F04F9F">
        <w:rPr>
          <w:rFonts w:cs="Arial"/>
          <w:szCs w:val="22"/>
          <w:lang w:eastAsia="en-GB" w:bidi="ar-SA"/>
        </w:rPr>
        <w:t xml:space="preserve"> M</w:t>
      </w:r>
      <w:r w:rsidR="003E2F54" w:rsidRPr="00F04F9F">
        <w:rPr>
          <w:rFonts w:cs="Arial"/>
          <w:szCs w:val="22"/>
          <w:lang w:eastAsia="en-GB" w:bidi="ar-SA"/>
        </w:rPr>
        <w:t>,</w:t>
      </w:r>
      <w:r w:rsidR="00F04F9F" w:rsidRPr="00F04F9F">
        <w:rPr>
          <w:rFonts w:cs="Arial"/>
          <w:szCs w:val="22"/>
          <w:lang w:eastAsia="en-GB" w:bidi="ar-SA"/>
        </w:rPr>
        <w:t xml:space="preserve"> </w:t>
      </w:r>
      <w:r w:rsidR="003E2F54" w:rsidRPr="00F04F9F">
        <w:rPr>
          <w:rFonts w:cs="Arial"/>
          <w:szCs w:val="22"/>
          <w:lang w:eastAsia="en-GB" w:bidi="ar-SA"/>
        </w:rPr>
        <w:t>Freud</w:t>
      </w:r>
      <w:r w:rsidR="00F04F9F" w:rsidRPr="00F04F9F">
        <w:rPr>
          <w:rFonts w:cs="Arial"/>
          <w:szCs w:val="22"/>
          <w:lang w:eastAsia="en-GB" w:bidi="ar-SA"/>
        </w:rPr>
        <w:t xml:space="preserve"> T </w:t>
      </w:r>
      <w:r w:rsidR="00F04F9F">
        <w:rPr>
          <w:rFonts w:cs="Arial"/>
          <w:szCs w:val="22"/>
          <w:lang w:eastAsia="en-GB" w:bidi="ar-SA"/>
        </w:rPr>
        <w:t xml:space="preserve">&amp; </w:t>
      </w:r>
      <w:r w:rsidR="003E2F54" w:rsidRPr="00F04F9F">
        <w:rPr>
          <w:rFonts w:cs="Arial"/>
          <w:szCs w:val="22"/>
          <w:lang w:eastAsia="en-GB" w:bidi="ar-SA"/>
        </w:rPr>
        <w:t>Whitehead</w:t>
      </w:r>
      <w:r w:rsidR="00F04F9F" w:rsidRPr="00F04F9F">
        <w:rPr>
          <w:rFonts w:cs="Arial"/>
          <w:szCs w:val="22"/>
          <w:lang w:eastAsia="en-GB" w:bidi="ar-SA"/>
        </w:rPr>
        <w:t xml:space="preserve"> W</w:t>
      </w:r>
      <w:r w:rsidR="00F04F9F">
        <w:rPr>
          <w:rFonts w:cs="Arial"/>
          <w:szCs w:val="22"/>
          <w:lang w:eastAsia="en-GB" w:bidi="ar-SA"/>
        </w:rPr>
        <w:t xml:space="preserve"> (2017). The global prevalence of IBS in adults reains elusive due to the heterogeneity of studies: a Rome Foundation working team literature review. Gut 66:1075-82.</w:t>
      </w:r>
    </w:p>
    <w:p w14:paraId="18EBCA1B" w14:textId="77777777" w:rsidR="00F04F9F" w:rsidRDefault="00F04F9F" w:rsidP="006D00E5">
      <w:pPr>
        <w:rPr>
          <w:rFonts w:cs="Arial"/>
          <w:szCs w:val="22"/>
        </w:rPr>
      </w:pPr>
    </w:p>
    <w:p w14:paraId="6205754E" w14:textId="2C8C425A" w:rsidR="00E22D64" w:rsidRDefault="00E22D64" w:rsidP="006D00E5">
      <w:pPr>
        <w:rPr>
          <w:rFonts w:cs="Arial"/>
        </w:rPr>
      </w:pPr>
      <w:r>
        <w:rPr>
          <w:rFonts w:cs="Arial"/>
        </w:rPr>
        <w:t>Strazzullo P, D’Elia L, Kandala N &amp; Cappuccio FP (2009). Salt intake, stroke, and cardiovascular disease: meta-analysis of prospective studies. BMJ 339:b4567.</w:t>
      </w:r>
    </w:p>
    <w:p w14:paraId="19F0E070" w14:textId="77777777" w:rsidR="00E22D64" w:rsidRDefault="00E22D64" w:rsidP="006D00E5">
      <w:pPr>
        <w:rPr>
          <w:rFonts w:cs="Arial"/>
        </w:rPr>
      </w:pPr>
    </w:p>
    <w:p w14:paraId="207A7542" w14:textId="11610143" w:rsidR="006D00E5" w:rsidRPr="00C71F09" w:rsidRDefault="006D00E5" w:rsidP="006D00E5">
      <w:pPr>
        <w:rPr>
          <w:rFonts w:cs="Arial"/>
          <w:szCs w:val="22"/>
        </w:rPr>
      </w:pPr>
      <w:r w:rsidRPr="00C71F09">
        <w:rPr>
          <w:rFonts w:cs="Arial"/>
          <w:szCs w:val="22"/>
        </w:rPr>
        <w:t>Teuri U &amp; Korpela R (1998). Galacto-oligo</w:t>
      </w:r>
      <w:r w:rsidRPr="00C71F09">
        <w:rPr>
          <w:rFonts w:cs="Arial"/>
          <w:szCs w:val="22"/>
          <w:lang w:bidi="ar-SA"/>
        </w:rPr>
        <w:t>saccharides</w:t>
      </w:r>
      <w:r w:rsidRPr="00C71F09">
        <w:rPr>
          <w:rFonts w:cs="Arial"/>
          <w:szCs w:val="22"/>
        </w:rPr>
        <w:t xml:space="preserve"> relieve constipation in elderly people. Ann Nutr Metab 42(6):319-27.</w:t>
      </w:r>
    </w:p>
    <w:p w14:paraId="14F13A8C" w14:textId="77777777" w:rsidR="006D00E5" w:rsidRPr="00C71F09" w:rsidRDefault="006D00E5" w:rsidP="006D00E5">
      <w:pPr>
        <w:rPr>
          <w:rFonts w:cs="Arial"/>
          <w:szCs w:val="22"/>
        </w:rPr>
      </w:pPr>
    </w:p>
    <w:p w14:paraId="2B995044" w14:textId="56D2A32F" w:rsidR="00C71F09" w:rsidRPr="00C71F09" w:rsidRDefault="00C71F09" w:rsidP="006D00E5">
      <w:pPr>
        <w:rPr>
          <w:szCs w:val="22"/>
        </w:rPr>
      </w:pPr>
      <w:r w:rsidRPr="00C71F09">
        <w:rPr>
          <w:szCs w:val="22"/>
        </w:rPr>
        <w:t>The Nordic Cochrane Centre TCC (2014)</w:t>
      </w:r>
      <w:r w:rsidR="0079769D">
        <w:rPr>
          <w:szCs w:val="22"/>
        </w:rPr>
        <w:t>.</w:t>
      </w:r>
      <w:r w:rsidRPr="00C71F09">
        <w:rPr>
          <w:szCs w:val="22"/>
        </w:rPr>
        <w:t xml:space="preserve"> Review Manager (RevMan) Version 5.3.</w:t>
      </w:r>
    </w:p>
    <w:p w14:paraId="1C2D16F3" w14:textId="77777777" w:rsidR="00C71F09" w:rsidRPr="00C71F09" w:rsidRDefault="00C71F09" w:rsidP="006D00E5">
      <w:pPr>
        <w:rPr>
          <w:szCs w:val="22"/>
        </w:rPr>
      </w:pPr>
    </w:p>
    <w:p w14:paraId="055FD0F9" w14:textId="4D0492AF" w:rsidR="006D00E5" w:rsidRPr="00C71F09" w:rsidRDefault="006D00E5" w:rsidP="006D00E5">
      <w:pPr>
        <w:rPr>
          <w:rFonts w:cs="Arial"/>
          <w:szCs w:val="22"/>
          <w:lang w:bidi="ar-SA"/>
        </w:rPr>
      </w:pPr>
      <w:r w:rsidRPr="00C71F09">
        <w:rPr>
          <w:rFonts w:cs="Arial"/>
          <w:szCs w:val="22"/>
          <w:lang w:bidi="ar-SA"/>
        </w:rPr>
        <w:t>Torres DPM, Gonҫalves MF, Teixeira JA &amp; Rodrigues LR (2010). Galacto-oligosaccharides: production, properties, applications, and significance as prebiotics. Compr Rev Food Sci F 9:438-54.</w:t>
      </w:r>
    </w:p>
    <w:p w14:paraId="47E09834" w14:textId="77777777" w:rsidR="006D00E5" w:rsidRPr="00C71F09" w:rsidRDefault="006D00E5" w:rsidP="006D00E5">
      <w:pPr>
        <w:rPr>
          <w:rFonts w:cs="Arial"/>
          <w:szCs w:val="22"/>
          <w:lang w:bidi="ar-SA"/>
        </w:rPr>
      </w:pPr>
    </w:p>
    <w:p w14:paraId="07E626C1" w14:textId="7F58BF4D" w:rsidR="00C6598D" w:rsidRDefault="00C6598D" w:rsidP="006D00E5">
      <w:pPr>
        <w:rPr>
          <w:rFonts w:cs="Arial"/>
          <w:szCs w:val="22"/>
          <w:lang w:bidi="ar-SA"/>
        </w:rPr>
      </w:pPr>
      <w:r w:rsidRPr="00C71F09">
        <w:rPr>
          <w:rFonts w:cs="Arial"/>
          <w:szCs w:val="22"/>
          <w:lang w:bidi="ar-SA"/>
        </w:rPr>
        <w:t>Tuck</w:t>
      </w:r>
      <w:r>
        <w:rPr>
          <w:rFonts w:cs="Arial"/>
          <w:szCs w:val="22"/>
          <w:lang w:bidi="ar-SA"/>
        </w:rPr>
        <w:t xml:space="preserve"> </w:t>
      </w:r>
      <w:r w:rsidR="00F76A19">
        <w:rPr>
          <w:rFonts w:cs="Arial"/>
          <w:szCs w:val="22"/>
          <w:lang w:bidi="ar-SA"/>
        </w:rPr>
        <w:t>C, Taylor K, Gibson P, Barrett J &amp; Muir J (</w:t>
      </w:r>
      <w:r>
        <w:rPr>
          <w:rFonts w:cs="Arial"/>
          <w:szCs w:val="22"/>
          <w:lang w:bidi="ar-SA"/>
        </w:rPr>
        <w:t>2018</w:t>
      </w:r>
      <w:r w:rsidR="00F76A19">
        <w:rPr>
          <w:rFonts w:cs="Arial"/>
          <w:szCs w:val="22"/>
          <w:lang w:bidi="ar-SA"/>
        </w:rPr>
        <w:t>). Increasing symptoms in irritable bowel symptoms with ingestion of galacto-oligosaccharides are mitigated by α-galactosidase treatment. Am J Gastroent</w:t>
      </w:r>
      <w:r w:rsidR="00917575">
        <w:rPr>
          <w:rFonts w:cs="Arial"/>
          <w:szCs w:val="22"/>
          <w:lang w:bidi="ar-SA"/>
        </w:rPr>
        <w:t>erol 113(1):124-34.</w:t>
      </w:r>
    </w:p>
    <w:p w14:paraId="17ABDF42" w14:textId="77777777" w:rsidR="006E0FB7" w:rsidRDefault="006E0FB7" w:rsidP="006D00E5">
      <w:pPr>
        <w:rPr>
          <w:lang w:bidi="ar-SA"/>
        </w:rPr>
      </w:pPr>
    </w:p>
    <w:p w14:paraId="0E3BE221" w14:textId="766B9123" w:rsidR="006D00E5" w:rsidRDefault="006D00E5" w:rsidP="006D00E5">
      <w:pPr>
        <w:rPr>
          <w:rFonts w:cs="Arial"/>
          <w:szCs w:val="22"/>
          <w:lang w:bidi="ar-SA"/>
        </w:rPr>
      </w:pPr>
      <w:r w:rsidRPr="00792C2A">
        <w:rPr>
          <w:rFonts w:cs="Arial"/>
          <w:szCs w:val="22"/>
          <w:lang w:bidi="ar-SA"/>
        </w:rPr>
        <w:t>van Dokkum W, Wezendonk B, Srikumar TS &amp; van den Heuvel EGHM (1999). Effect of nondigestible oligosaccharides on large-bowel functions, blood lipid concentrations and glucose absorption in young healthy male subjects. Eur J Clin Nutr 53:1-7.</w:t>
      </w:r>
    </w:p>
    <w:p w14:paraId="2A5EBA4C" w14:textId="77777777" w:rsidR="006D00E5" w:rsidRDefault="006D00E5" w:rsidP="006D00E5">
      <w:pPr>
        <w:rPr>
          <w:rFonts w:cs="Arial"/>
          <w:szCs w:val="22"/>
          <w:lang w:bidi="ar-SA"/>
        </w:rPr>
      </w:pPr>
    </w:p>
    <w:p w14:paraId="0F1DB2D4" w14:textId="249B320A" w:rsidR="006D00E5" w:rsidRPr="00792C2A" w:rsidRDefault="006D00E5" w:rsidP="006D00E5">
      <w:pPr>
        <w:rPr>
          <w:rFonts w:cs="Arial"/>
          <w:szCs w:val="22"/>
          <w:lang w:bidi="ar-SA"/>
        </w:rPr>
      </w:pPr>
      <w:r>
        <w:t>Van Loo J</w:t>
      </w:r>
      <w:r w:rsidR="004878AC">
        <w:t>, Cummings J, Delzenne N, Englyst H, Franck A, Hopkins M, Kok N, Macfarlane G, Newton D, Quigley M, Roberfroid M, van Vliet T &amp; van den Heuvel E</w:t>
      </w:r>
      <w:r>
        <w:t xml:space="preserve"> (1999). Functional food properties of non-digestible oligosaccharides: a consensus report for the ENDO project (DGXII AIRII-CT94-1095). Brit J Nutr 81:121-32</w:t>
      </w:r>
      <w:r w:rsidR="000F09A1">
        <w:t>.</w:t>
      </w:r>
    </w:p>
    <w:p w14:paraId="016231DB" w14:textId="77777777" w:rsidR="006D00E5" w:rsidRPr="00792C2A" w:rsidRDefault="006D00E5" w:rsidP="006D00E5">
      <w:pPr>
        <w:rPr>
          <w:rFonts w:cs="Arial"/>
          <w:szCs w:val="22"/>
          <w:lang w:bidi="ar-SA"/>
        </w:rPr>
      </w:pPr>
    </w:p>
    <w:p w14:paraId="2F1F52EF" w14:textId="77777777" w:rsidR="006D00E5" w:rsidRPr="00792C2A" w:rsidRDefault="006D00E5" w:rsidP="006D00E5">
      <w:pPr>
        <w:rPr>
          <w:rFonts w:cs="Arial"/>
          <w:szCs w:val="22"/>
          <w:lang w:bidi="ar-SA"/>
        </w:rPr>
      </w:pPr>
      <w:r w:rsidRPr="00792C2A">
        <w:rPr>
          <w:rFonts w:cs="Arial"/>
          <w:szCs w:val="22"/>
          <w:lang w:bidi="ar-SA"/>
        </w:rPr>
        <w:t>Vulevic J, Drakoularakou A, Yaqoob P, Tzortzis G &amp; Gibson GR (2008). Modulation of the fecal microflora profile and immune function by a novel trans-galactooligosaccharide mixture (B-GOS) in healthy elderly volunteers. Am J Clin Nutr 88:1438-46.</w:t>
      </w:r>
    </w:p>
    <w:p w14:paraId="5FBD7364" w14:textId="77777777" w:rsidR="006D00E5" w:rsidRPr="00792C2A" w:rsidRDefault="006D00E5" w:rsidP="006D00E5">
      <w:pPr>
        <w:rPr>
          <w:rFonts w:cs="Arial"/>
          <w:szCs w:val="22"/>
          <w:lang w:bidi="ar-SA"/>
        </w:rPr>
      </w:pPr>
    </w:p>
    <w:p w14:paraId="02009D22" w14:textId="77777777" w:rsidR="006D00E5" w:rsidRPr="00792C2A" w:rsidRDefault="006D00E5" w:rsidP="006D00E5">
      <w:pPr>
        <w:rPr>
          <w:rFonts w:cs="Arial"/>
          <w:szCs w:val="22"/>
          <w:lang w:bidi="ar-SA"/>
        </w:rPr>
      </w:pPr>
      <w:r w:rsidRPr="00792C2A">
        <w:rPr>
          <w:rFonts w:cs="Arial"/>
          <w:szCs w:val="22"/>
          <w:lang w:bidi="ar-SA"/>
        </w:rPr>
        <w:t>Vulevic J, Juric A, Tzortzis G &amp; Gibson GR (2013). A mixture of trans-</w:t>
      </w:r>
      <w:r>
        <w:rPr>
          <w:rFonts w:cs="Arial"/>
          <w:szCs w:val="22"/>
          <w:lang w:bidi="ar-SA"/>
        </w:rPr>
        <w:t>g</w:t>
      </w:r>
      <w:r w:rsidRPr="00792C2A">
        <w:rPr>
          <w:rFonts w:cs="Arial"/>
          <w:szCs w:val="22"/>
          <w:lang w:bidi="ar-SA"/>
        </w:rPr>
        <w:t>alactooligosaccharides reduces markers of metabolic syndrome and modulates the fecal microbiota and immune function of overweight adults. J Nutr 143:324-31.</w:t>
      </w:r>
    </w:p>
    <w:p w14:paraId="6C98DC65" w14:textId="77777777" w:rsidR="006D00E5" w:rsidRPr="00792C2A" w:rsidRDefault="006D00E5" w:rsidP="006D00E5">
      <w:pPr>
        <w:rPr>
          <w:rFonts w:cs="Arial"/>
          <w:szCs w:val="22"/>
          <w:lang w:bidi="ar-SA"/>
        </w:rPr>
      </w:pPr>
    </w:p>
    <w:p w14:paraId="3F4BEDA1" w14:textId="44C77D26" w:rsidR="006D00E5" w:rsidRPr="00FC20E4" w:rsidRDefault="006D00E5" w:rsidP="006D00E5">
      <w:pPr>
        <w:widowControl/>
        <w:autoSpaceDE w:val="0"/>
        <w:autoSpaceDN w:val="0"/>
        <w:adjustRightInd w:val="0"/>
        <w:rPr>
          <w:rFonts w:cs="Arial"/>
          <w:szCs w:val="22"/>
          <w:lang w:eastAsia="en-GB" w:bidi="ar-SA"/>
        </w:rPr>
      </w:pPr>
      <w:r w:rsidRPr="00792C2A">
        <w:rPr>
          <w:rFonts w:cs="Arial"/>
          <w:szCs w:val="22"/>
          <w:lang w:eastAsia="en-GB" w:bidi="ar-SA"/>
        </w:rPr>
        <w:t>Walton GE, van den Heuvel EGHM, Kosters MHW, Rastall RA, Tuohy KM &amp; Gibson GR (</w:t>
      </w:r>
      <w:r w:rsidRPr="00FC20E4">
        <w:rPr>
          <w:rFonts w:cs="Arial"/>
          <w:szCs w:val="22"/>
          <w:lang w:eastAsia="en-GB" w:bidi="ar-SA"/>
        </w:rPr>
        <w:t>2012). A randomised crossover study investigating the effects of galacto-oligosaccharides on the faecal microbiota in men and women over 50 years of age. Brit J Nutr 107:1466-75.</w:t>
      </w:r>
    </w:p>
    <w:p w14:paraId="5EE80949" w14:textId="77777777" w:rsidR="006D00E5" w:rsidRPr="00FC20E4" w:rsidRDefault="006D00E5" w:rsidP="00FC20E4">
      <w:pPr>
        <w:widowControl/>
        <w:autoSpaceDE w:val="0"/>
        <w:autoSpaceDN w:val="0"/>
        <w:adjustRightInd w:val="0"/>
        <w:rPr>
          <w:rFonts w:cs="Arial"/>
          <w:szCs w:val="22"/>
          <w:lang w:eastAsia="en-GB" w:bidi="ar-SA"/>
        </w:rPr>
      </w:pPr>
      <w:r w:rsidRPr="00FC20E4">
        <w:rPr>
          <w:rFonts w:cs="Arial"/>
          <w:szCs w:val="22"/>
          <w:lang w:eastAsia="en-GB" w:bidi="ar-SA"/>
        </w:rPr>
        <w:t xml:space="preserve"> </w:t>
      </w:r>
    </w:p>
    <w:p w14:paraId="06B92085" w14:textId="57AF05AF" w:rsidR="006D00E5" w:rsidRPr="00FC20E4" w:rsidRDefault="006D00E5" w:rsidP="00FC20E4">
      <w:pPr>
        <w:widowControl/>
        <w:autoSpaceDE w:val="0"/>
        <w:autoSpaceDN w:val="0"/>
        <w:adjustRightInd w:val="0"/>
        <w:rPr>
          <w:rFonts w:cs="Arial"/>
          <w:szCs w:val="22"/>
          <w:shd w:val="clear" w:color="auto" w:fill="FFFFFF"/>
        </w:rPr>
      </w:pPr>
      <w:r w:rsidRPr="00FC20E4">
        <w:rPr>
          <w:rFonts w:cs="Arial"/>
          <w:szCs w:val="22"/>
          <w:shd w:val="clear" w:color="auto" w:fill="FFFFFF"/>
        </w:rPr>
        <w:t>Wan X, Wang W, Liu J</w:t>
      </w:r>
      <w:r w:rsidR="00FC20E4" w:rsidRPr="00FC20E4">
        <w:rPr>
          <w:rFonts w:cs="Arial"/>
          <w:szCs w:val="22"/>
          <w:shd w:val="clear" w:color="auto" w:fill="FFFFFF"/>
        </w:rPr>
        <w:t xml:space="preserve"> &amp; Tong T</w:t>
      </w:r>
      <w:r w:rsidRPr="00FC20E4">
        <w:rPr>
          <w:rFonts w:cs="Arial"/>
          <w:szCs w:val="22"/>
          <w:shd w:val="clear" w:color="auto" w:fill="FFFFFF"/>
        </w:rPr>
        <w:t> </w:t>
      </w:r>
      <w:r w:rsidR="00FC20E4">
        <w:rPr>
          <w:rFonts w:cs="Arial"/>
          <w:szCs w:val="22"/>
          <w:shd w:val="clear" w:color="auto" w:fill="FFFFFF"/>
        </w:rPr>
        <w:t xml:space="preserve">(2014). </w:t>
      </w:r>
      <w:r w:rsidRPr="00FC20E4">
        <w:rPr>
          <w:rFonts w:cs="Arial"/>
          <w:szCs w:val="22"/>
          <w:shd w:val="clear" w:color="auto" w:fill="FFFFFF"/>
        </w:rPr>
        <w:t>Estimating the sample mean and standard deviation from the sample size, median, range and/or interquartile range. </w:t>
      </w:r>
      <w:r w:rsidRPr="00FC20E4">
        <w:rPr>
          <w:rFonts w:cs="Arial"/>
          <w:iCs/>
          <w:szCs w:val="22"/>
          <w:shd w:val="clear" w:color="auto" w:fill="FFFFFF"/>
        </w:rPr>
        <w:t>BMC Med Res Methodol</w:t>
      </w:r>
      <w:r w:rsidRPr="00FC20E4">
        <w:rPr>
          <w:rFonts w:cs="Arial"/>
          <w:szCs w:val="22"/>
          <w:shd w:val="clear" w:color="auto" w:fill="FFFFFF"/>
        </w:rPr>
        <w:t> </w:t>
      </w:r>
      <w:r w:rsidRPr="00FC20E4">
        <w:rPr>
          <w:rFonts w:cs="Arial"/>
          <w:bCs/>
          <w:szCs w:val="22"/>
          <w:shd w:val="clear" w:color="auto" w:fill="FFFFFF"/>
        </w:rPr>
        <w:t>14,</w:t>
      </w:r>
      <w:r w:rsidRPr="00FC20E4">
        <w:rPr>
          <w:rFonts w:cs="Arial"/>
          <w:b/>
          <w:bCs/>
          <w:szCs w:val="22"/>
          <w:shd w:val="clear" w:color="auto" w:fill="FFFFFF"/>
        </w:rPr>
        <w:t> </w:t>
      </w:r>
      <w:r w:rsidR="00FC20E4" w:rsidRPr="00FC20E4">
        <w:rPr>
          <w:rFonts w:cs="Arial"/>
          <w:szCs w:val="22"/>
          <w:shd w:val="clear" w:color="auto" w:fill="FFFFFF"/>
        </w:rPr>
        <w:t>135.</w:t>
      </w:r>
    </w:p>
    <w:p w14:paraId="0721507B" w14:textId="77777777" w:rsidR="006D00E5" w:rsidRPr="00FC20E4" w:rsidRDefault="006D00E5" w:rsidP="00FC20E4">
      <w:pPr>
        <w:widowControl/>
        <w:autoSpaceDE w:val="0"/>
        <w:autoSpaceDN w:val="0"/>
        <w:adjustRightInd w:val="0"/>
        <w:rPr>
          <w:rFonts w:cs="Arial"/>
          <w:szCs w:val="22"/>
          <w:shd w:val="clear" w:color="auto" w:fill="FFFFFF"/>
        </w:rPr>
      </w:pPr>
    </w:p>
    <w:p w14:paraId="78E06622" w14:textId="4B008D14" w:rsidR="003D7003" w:rsidRDefault="006D00E5" w:rsidP="00BE5BC7">
      <w:pPr>
        <w:widowControl/>
        <w:autoSpaceDE w:val="0"/>
        <w:autoSpaceDN w:val="0"/>
        <w:adjustRightInd w:val="0"/>
        <w:rPr>
          <w:rFonts w:cs="Arial"/>
          <w:szCs w:val="22"/>
          <w:lang w:eastAsia="en-GB" w:bidi="ar-SA"/>
        </w:rPr>
      </w:pPr>
      <w:r w:rsidRPr="00FC20E4">
        <w:rPr>
          <w:rFonts w:cs="Arial"/>
          <w:szCs w:val="22"/>
          <w:lang w:eastAsia="en-GB" w:bidi="ar-SA"/>
        </w:rPr>
        <w:lastRenderedPageBreak/>
        <w:t>Whis</w:t>
      </w:r>
      <w:r w:rsidRPr="00792C2A">
        <w:rPr>
          <w:rFonts w:cs="Arial"/>
          <w:szCs w:val="22"/>
          <w:lang w:eastAsia="en-GB" w:bidi="ar-SA"/>
        </w:rPr>
        <w:t>ner CM, Martin BR, Schoterman MHC, Nakatsu CH, McCabe LD, McCabe GP, Wastney ME, van den Heuvel EGHM &amp; Weaver CM (2013). Galacto-oligosaccharides increase calcium absorption and gut bifidobacteria in young girls: a double-blind cross-over trial. Brit J Nutr 110:1292-1303.</w:t>
      </w:r>
    </w:p>
    <w:p w14:paraId="5B5AB0A5" w14:textId="77777777" w:rsidR="00F0230E" w:rsidRDefault="00F0230E">
      <w:pPr>
        <w:widowControl/>
        <w:rPr>
          <w:b/>
          <w:bCs/>
          <w:sz w:val="36"/>
          <w:szCs w:val="28"/>
          <w:lang w:bidi="ar-SA"/>
        </w:rPr>
      </w:pPr>
      <w:r>
        <w:br w:type="page"/>
      </w:r>
    </w:p>
    <w:p w14:paraId="38134E05" w14:textId="3B0574B2" w:rsidR="003D7003" w:rsidRDefault="003D7003" w:rsidP="003D7003">
      <w:pPr>
        <w:pStyle w:val="Heading1"/>
      </w:pPr>
      <w:bookmarkStart w:id="23" w:name="_Toc64561463"/>
      <w:bookmarkStart w:id="24" w:name="_Toc66868365"/>
      <w:r>
        <w:lastRenderedPageBreak/>
        <w:t>Appendix</w:t>
      </w:r>
      <w:bookmarkEnd w:id="23"/>
      <w:bookmarkEnd w:id="24"/>
    </w:p>
    <w:p w14:paraId="2B5ACA4D" w14:textId="594CDEF6" w:rsidR="00B57DAF" w:rsidRPr="00B57DAF" w:rsidRDefault="003D7003" w:rsidP="00B57DAF">
      <w:pPr>
        <w:pStyle w:val="Heading2"/>
      </w:pPr>
      <w:bookmarkStart w:id="25" w:name="_Toc64561464"/>
      <w:bookmarkStart w:id="26" w:name="_Toc66868366"/>
      <w:r>
        <w:t>2.</w:t>
      </w:r>
      <w:r w:rsidR="00F73110">
        <w:t>1</w:t>
      </w:r>
      <w:r>
        <w:t xml:space="preserve"> </w:t>
      </w:r>
      <w:bookmarkEnd w:id="25"/>
      <w:r w:rsidR="00B57DAF">
        <w:t>Summary of meta-analyses’ results, and our assessment’s strengths and limitations</w:t>
      </w:r>
      <w:bookmarkEnd w:id="26"/>
    </w:p>
    <w:p w14:paraId="733E2BF7" w14:textId="7380687F" w:rsidR="00B57DAF" w:rsidRPr="000A0E71" w:rsidRDefault="00B57DAF" w:rsidP="00B57DAF">
      <w:pPr>
        <w:rPr>
          <w:rFonts w:cs="Arial"/>
          <w:b/>
          <w:szCs w:val="22"/>
          <w:lang w:bidi="ar-SA"/>
        </w:rPr>
      </w:pPr>
      <w:r w:rsidRPr="000A0E71">
        <w:rPr>
          <w:rFonts w:cs="Arial"/>
          <w:b/>
        </w:rPr>
        <w:t xml:space="preserve">Table </w:t>
      </w:r>
      <w:r w:rsidR="002131C1">
        <w:rPr>
          <w:rFonts w:cs="Arial"/>
          <w:b/>
        </w:rPr>
        <w:t>5</w:t>
      </w:r>
      <w:r w:rsidRPr="000A0E71">
        <w:rPr>
          <w:rFonts w:cs="Arial"/>
          <w:b/>
        </w:rPr>
        <w:t>: Galacto-oligosaccharide intake has no overall mean effect on outcomes</w:t>
      </w:r>
      <w:r>
        <w:rPr>
          <w:rFonts w:cs="Arial"/>
          <w:b/>
        </w:rPr>
        <w:t xml:space="preserve"> related to laxation, blood cholesterol, and blood glucose</w:t>
      </w:r>
      <w:r w:rsidRPr="000A0E71">
        <w:rPr>
          <w:rFonts w:cs="Arial"/>
          <w:b/>
        </w:rPr>
        <w:t>.</w:t>
      </w:r>
    </w:p>
    <w:tbl>
      <w:tblPr>
        <w:tblStyle w:val="TableGrid"/>
        <w:tblW w:w="9060" w:type="dxa"/>
        <w:tblLook w:val="04A0" w:firstRow="1" w:lastRow="0" w:firstColumn="1" w:lastColumn="0" w:noHBand="0" w:noVBand="1"/>
        <w:tblCaption w:val="Table 5 Galacto-oligosaccharide intake has no overall mean effect on outcomes related to laxation, blood cholesterol, and blood glucose."/>
        <w:tblDescription w:val="Table 5 contains 6 columns. Column 1 lists outomes. Column 2 lists units of measurement. Column 3 lists the mean difference with its 95% confidence interval. Column 4 lists the P value for the mean difference. Column 5 lists the I squared value. Column 6 lists the number of included studies, pair-wise comparisons, and individuals. "/>
      </w:tblPr>
      <w:tblGrid>
        <w:gridCol w:w="1980"/>
        <w:gridCol w:w="992"/>
        <w:gridCol w:w="1985"/>
        <w:gridCol w:w="1134"/>
        <w:gridCol w:w="850"/>
        <w:gridCol w:w="2119"/>
      </w:tblGrid>
      <w:tr w:rsidR="00B57DAF" w:rsidRPr="00C1761C" w14:paraId="6BEAABF4" w14:textId="77777777" w:rsidTr="00C92EF1">
        <w:tc>
          <w:tcPr>
            <w:tcW w:w="1980" w:type="dxa"/>
          </w:tcPr>
          <w:p w14:paraId="3329A6AE" w14:textId="77777777" w:rsidR="00B57DAF" w:rsidRPr="00C1761C" w:rsidRDefault="00B57DAF" w:rsidP="00C92EF1">
            <w:pPr>
              <w:rPr>
                <w:b/>
                <w:sz w:val="18"/>
                <w:szCs w:val="18"/>
              </w:rPr>
            </w:pPr>
            <w:r w:rsidRPr="00C1761C">
              <w:rPr>
                <w:b/>
                <w:sz w:val="18"/>
                <w:szCs w:val="18"/>
              </w:rPr>
              <w:t>Outcome</w:t>
            </w:r>
          </w:p>
        </w:tc>
        <w:tc>
          <w:tcPr>
            <w:tcW w:w="992" w:type="dxa"/>
          </w:tcPr>
          <w:p w14:paraId="5FEC361A" w14:textId="77777777" w:rsidR="00B57DAF" w:rsidRPr="00C1761C" w:rsidRDefault="00B57DAF" w:rsidP="00C92EF1">
            <w:pPr>
              <w:rPr>
                <w:b/>
                <w:sz w:val="18"/>
                <w:szCs w:val="18"/>
              </w:rPr>
            </w:pPr>
            <w:r w:rsidRPr="00C1761C">
              <w:rPr>
                <w:b/>
                <w:sz w:val="18"/>
                <w:szCs w:val="18"/>
              </w:rPr>
              <w:t>Units</w:t>
            </w:r>
          </w:p>
        </w:tc>
        <w:tc>
          <w:tcPr>
            <w:tcW w:w="1985" w:type="dxa"/>
          </w:tcPr>
          <w:p w14:paraId="03E47BEF" w14:textId="77777777" w:rsidR="00B57DAF" w:rsidRPr="00C1761C" w:rsidRDefault="00B57DAF" w:rsidP="00C92EF1">
            <w:pPr>
              <w:rPr>
                <w:b/>
                <w:sz w:val="18"/>
                <w:szCs w:val="18"/>
                <w:vertAlign w:val="superscript"/>
              </w:rPr>
            </w:pPr>
            <w:r w:rsidRPr="00C1761C">
              <w:rPr>
                <w:b/>
                <w:sz w:val="18"/>
                <w:szCs w:val="18"/>
              </w:rPr>
              <w:t>Mean difference (95% CI)</w:t>
            </w:r>
            <w:r w:rsidRPr="00C1761C">
              <w:rPr>
                <w:b/>
                <w:sz w:val="18"/>
                <w:szCs w:val="18"/>
                <w:vertAlign w:val="superscript"/>
              </w:rPr>
              <w:t>1</w:t>
            </w:r>
          </w:p>
        </w:tc>
        <w:tc>
          <w:tcPr>
            <w:tcW w:w="1134" w:type="dxa"/>
          </w:tcPr>
          <w:p w14:paraId="6F73364B" w14:textId="77777777" w:rsidR="00B57DAF" w:rsidRPr="00C1761C" w:rsidRDefault="00B57DAF" w:rsidP="00C92EF1">
            <w:pPr>
              <w:rPr>
                <w:b/>
                <w:i/>
                <w:sz w:val="18"/>
                <w:szCs w:val="18"/>
              </w:rPr>
            </w:pPr>
            <w:r w:rsidRPr="00C1761C">
              <w:rPr>
                <w:b/>
                <w:i/>
                <w:sz w:val="18"/>
                <w:szCs w:val="18"/>
              </w:rPr>
              <w:t>P</w:t>
            </w:r>
            <w:r w:rsidRPr="00C1761C">
              <w:rPr>
                <w:b/>
                <w:sz w:val="18"/>
                <w:szCs w:val="18"/>
                <w:vertAlign w:val="superscript"/>
              </w:rPr>
              <w:t>2</w:t>
            </w:r>
          </w:p>
        </w:tc>
        <w:tc>
          <w:tcPr>
            <w:tcW w:w="850" w:type="dxa"/>
          </w:tcPr>
          <w:p w14:paraId="31F6DD79" w14:textId="77777777" w:rsidR="00B57DAF" w:rsidRPr="00C1761C" w:rsidRDefault="00B57DAF" w:rsidP="00C92EF1">
            <w:pPr>
              <w:rPr>
                <w:b/>
                <w:sz w:val="18"/>
                <w:szCs w:val="18"/>
              </w:rPr>
            </w:pPr>
            <w:r w:rsidRPr="00C1761C">
              <w:rPr>
                <w:b/>
                <w:sz w:val="18"/>
                <w:szCs w:val="18"/>
              </w:rPr>
              <w:t>I</w:t>
            </w:r>
            <w:r w:rsidRPr="00C1761C">
              <w:rPr>
                <w:b/>
                <w:sz w:val="18"/>
                <w:szCs w:val="18"/>
                <w:vertAlign w:val="superscript"/>
              </w:rPr>
              <w:t>2</w:t>
            </w:r>
          </w:p>
        </w:tc>
        <w:tc>
          <w:tcPr>
            <w:tcW w:w="2119" w:type="dxa"/>
          </w:tcPr>
          <w:p w14:paraId="669B391B" w14:textId="77777777" w:rsidR="00B57DAF" w:rsidRPr="00C1761C" w:rsidRDefault="00B57DAF" w:rsidP="00C92EF1">
            <w:pPr>
              <w:rPr>
                <w:b/>
                <w:sz w:val="18"/>
                <w:szCs w:val="18"/>
              </w:rPr>
            </w:pPr>
            <w:r w:rsidRPr="00C1761C">
              <w:rPr>
                <w:b/>
                <w:sz w:val="18"/>
                <w:szCs w:val="18"/>
              </w:rPr>
              <w:t>Number of included studies pair-wise comparisons, and individuals</w:t>
            </w:r>
            <w:r w:rsidRPr="00C1761C">
              <w:rPr>
                <w:b/>
                <w:sz w:val="18"/>
                <w:szCs w:val="18"/>
                <w:vertAlign w:val="superscript"/>
              </w:rPr>
              <w:t>3</w:t>
            </w:r>
          </w:p>
        </w:tc>
      </w:tr>
      <w:tr w:rsidR="00B57DAF" w:rsidRPr="00C1761C" w14:paraId="66981407" w14:textId="77777777" w:rsidTr="00C92EF1">
        <w:tc>
          <w:tcPr>
            <w:tcW w:w="9060" w:type="dxa"/>
            <w:gridSpan w:val="6"/>
          </w:tcPr>
          <w:p w14:paraId="24D3A61B" w14:textId="77777777" w:rsidR="00B57DAF" w:rsidRPr="00C1761C" w:rsidRDefault="00B57DAF" w:rsidP="00C92EF1">
            <w:pPr>
              <w:rPr>
                <w:i/>
                <w:sz w:val="18"/>
                <w:szCs w:val="18"/>
              </w:rPr>
            </w:pPr>
            <w:r>
              <w:rPr>
                <w:rFonts w:cs="Arial"/>
                <w:i/>
                <w:sz w:val="18"/>
                <w:szCs w:val="18"/>
              </w:rPr>
              <w:t>O</w:t>
            </w:r>
            <w:r w:rsidRPr="00C1761C">
              <w:rPr>
                <w:rFonts w:cs="Arial"/>
                <w:i/>
                <w:sz w:val="18"/>
                <w:szCs w:val="18"/>
              </w:rPr>
              <w:t>utcomes</w:t>
            </w:r>
            <w:r>
              <w:rPr>
                <w:rFonts w:cs="Arial"/>
                <w:i/>
                <w:sz w:val="18"/>
                <w:szCs w:val="18"/>
              </w:rPr>
              <w:t xml:space="preserve"> of primary interest to the definition of dietary fibre (Standard 1.1.2)</w:t>
            </w:r>
          </w:p>
        </w:tc>
      </w:tr>
      <w:tr w:rsidR="00B57DAF" w:rsidRPr="00C1761C" w14:paraId="70266DD7" w14:textId="77777777" w:rsidTr="00C92EF1">
        <w:tc>
          <w:tcPr>
            <w:tcW w:w="1980" w:type="dxa"/>
          </w:tcPr>
          <w:p w14:paraId="73452F8D" w14:textId="77777777" w:rsidR="00B57DAF" w:rsidRPr="00C1761C" w:rsidRDefault="00B57DAF" w:rsidP="00C92EF1">
            <w:pPr>
              <w:rPr>
                <w:sz w:val="18"/>
                <w:szCs w:val="18"/>
              </w:rPr>
            </w:pPr>
            <w:r w:rsidRPr="00C1761C">
              <w:rPr>
                <w:rFonts w:cs="Arial"/>
                <w:sz w:val="18"/>
                <w:szCs w:val="18"/>
              </w:rPr>
              <w:t>Stool weight</w:t>
            </w:r>
          </w:p>
        </w:tc>
        <w:tc>
          <w:tcPr>
            <w:tcW w:w="992" w:type="dxa"/>
          </w:tcPr>
          <w:p w14:paraId="403E1A5A" w14:textId="77777777" w:rsidR="00B57DAF" w:rsidRPr="00C1761C" w:rsidRDefault="00B57DAF" w:rsidP="00C92EF1">
            <w:pPr>
              <w:rPr>
                <w:sz w:val="18"/>
                <w:szCs w:val="18"/>
              </w:rPr>
            </w:pPr>
            <w:r w:rsidRPr="00C1761C">
              <w:rPr>
                <w:sz w:val="18"/>
                <w:szCs w:val="18"/>
              </w:rPr>
              <w:t>gram</w:t>
            </w:r>
          </w:p>
        </w:tc>
        <w:tc>
          <w:tcPr>
            <w:tcW w:w="1985" w:type="dxa"/>
          </w:tcPr>
          <w:p w14:paraId="2985B85A" w14:textId="77777777" w:rsidR="00B57DAF" w:rsidRPr="00C1761C" w:rsidRDefault="00B57DAF" w:rsidP="00C92EF1">
            <w:pPr>
              <w:rPr>
                <w:sz w:val="18"/>
                <w:szCs w:val="18"/>
              </w:rPr>
            </w:pPr>
            <w:r w:rsidRPr="00C1761C">
              <w:rPr>
                <w:rFonts w:cs="Arial"/>
                <w:sz w:val="18"/>
                <w:szCs w:val="18"/>
              </w:rPr>
              <w:t>6.34 (-6.21, 18.</w:t>
            </w:r>
            <w:r>
              <w:rPr>
                <w:rFonts w:cs="Arial"/>
                <w:sz w:val="18"/>
                <w:szCs w:val="18"/>
              </w:rPr>
              <w:t>9</w:t>
            </w:r>
            <w:r w:rsidRPr="00C1761C">
              <w:rPr>
                <w:rFonts w:cs="Arial"/>
                <w:sz w:val="18"/>
                <w:szCs w:val="18"/>
              </w:rPr>
              <w:t>)</w:t>
            </w:r>
          </w:p>
        </w:tc>
        <w:tc>
          <w:tcPr>
            <w:tcW w:w="1134" w:type="dxa"/>
          </w:tcPr>
          <w:p w14:paraId="09FE1D61" w14:textId="77777777" w:rsidR="00B57DAF" w:rsidRPr="00C1761C" w:rsidRDefault="00B57DAF" w:rsidP="00C92EF1">
            <w:pPr>
              <w:rPr>
                <w:rFonts w:cs="Arial"/>
                <w:sz w:val="18"/>
                <w:szCs w:val="18"/>
              </w:rPr>
            </w:pPr>
            <w:r w:rsidRPr="00C1761C">
              <w:rPr>
                <w:sz w:val="18"/>
                <w:szCs w:val="18"/>
              </w:rPr>
              <w:t>0.32</w:t>
            </w:r>
          </w:p>
        </w:tc>
        <w:tc>
          <w:tcPr>
            <w:tcW w:w="850" w:type="dxa"/>
          </w:tcPr>
          <w:p w14:paraId="74B9CD0E" w14:textId="77777777" w:rsidR="00B57DAF" w:rsidRPr="00C1761C" w:rsidRDefault="00B57DAF" w:rsidP="00C92EF1">
            <w:pPr>
              <w:rPr>
                <w:sz w:val="18"/>
                <w:szCs w:val="18"/>
              </w:rPr>
            </w:pPr>
            <w:r w:rsidRPr="00C1761C">
              <w:rPr>
                <w:sz w:val="18"/>
                <w:szCs w:val="18"/>
              </w:rPr>
              <w:t>7</w:t>
            </w:r>
          </w:p>
        </w:tc>
        <w:tc>
          <w:tcPr>
            <w:tcW w:w="2119" w:type="dxa"/>
          </w:tcPr>
          <w:p w14:paraId="16FC827B" w14:textId="77777777" w:rsidR="00B57DAF" w:rsidRPr="00C1761C" w:rsidRDefault="00B57DAF" w:rsidP="00C92EF1">
            <w:pPr>
              <w:rPr>
                <w:sz w:val="18"/>
                <w:szCs w:val="18"/>
              </w:rPr>
            </w:pPr>
            <w:r w:rsidRPr="00C1761C">
              <w:rPr>
                <w:sz w:val="18"/>
                <w:szCs w:val="18"/>
              </w:rPr>
              <w:t>3, 6, 113 (64)</w:t>
            </w:r>
          </w:p>
        </w:tc>
      </w:tr>
      <w:tr w:rsidR="00B57DAF" w:rsidRPr="00C1761C" w14:paraId="41255DBB" w14:textId="77777777" w:rsidTr="00C92EF1">
        <w:tc>
          <w:tcPr>
            <w:tcW w:w="1980" w:type="dxa"/>
          </w:tcPr>
          <w:p w14:paraId="0D50C40D" w14:textId="77777777" w:rsidR="00B57DAF" w:rsidRPr="00C1761C" w:rsidRDefault="00B57DAF" w:rsidP="00C92EF1">
            <w:pPr>
              <w:rPr>
                <w:sz w:val="18"/>
                <w:szCs w:val="18"/>
              </w:rPr>
            </w:pPr>
            <w:r w:rsidRPr="00C1761C">
              <w:rPr>
                <w:rFonts w:cs="Arial"/>
                <w:sz w:val="18"/>
                <w:szCs w:val="18"/>
              </w:rPr>
              <w:t>Total cholesterol</w:t>
            </w:r>
          </w:p>
        </w:tc>
        <w:tc>
          <w:tcPr>
            <w:tcW w:w="992" w:type="dxa"/>
          </w:tcPr>
          <w:p w14:paraId="6E7DCC69" w14:textId="77777777" w:rsidR="00B57DAF" w:rsidRPr="00C1761C" w:rsidRDefault="00B57DAF" w:rsidP="00C92EF1">
            <w:pPr>
              <w:rPr>
                <w:sz w:val="18"/>
                <w:szCs w:val="18"/>
              </w:rPr>
            </w:pPr>
            <w:r w:rsidRPr="00C1761C">
              <w:rPr>
                <w:rFonts w:cs="Arial"/>
                <w:sz w:val="18"/>
                <w:szCs w:val="18"/>
              </w:rPr>
              <w:t>mmol/L</w:t>
            </w:r>
          </w:p>
        </w:tc>
        <w:tc>
          <w:tcPr>
            <w:tcW w:w="1985" w:type="dxa"/>
          </w:tcPr>
          <w:p w14:paraId="6B17BFFE" w14:textId="77777777" w:rsidR="00B57DAF" w:rsidRPr="00C1761C" w:rsidRDefault="00B57DAF" w:rsidP="00C92EF1">
            <w:pPr>
              <w:rPr>
                <w:rFonts w:cs="Arial"/>
                <w:sz w:val="18"/>
                <w:szCs w:val="18"/>
              </w:rPr>
            </w:pPr>
            <w:r w:rsidRPr="00C1761C">
              <w:rPr>
                <w:rFonts w:cs="Arial"/>
                <w:sz w:val="18"/>
                <w:szCs w:val="18"/>
              </w:rPr>
              <w:t>-0.13 (-0.34, 0.08)</w:t>
            </w:r>
          </w:p>
        </w:tc>
        <w:tc>
          <w:tcPr>
            <w:tcW w:w="1134" w:type="dxa"/>
          </w:tcPr>
          <w:p w14:paraId="092D6A30" w14:textId="77777777" w:rsidR="00B57DAF" w:rsidRPr="00C1761C" w:rsidRDefault="00B57DAF" w:rsidP="00C92EF1">
            <w:pPr>
              <w:rPr>
                <w:sz w:val="18"/>
                <w:szCs w:val="18"/>
              </w:rPr>
            </w:pPr>
            <w:r w:rsidRPr="00C1761C">
              <w:rPr>
                <w:sz w:val="18"/>
                <w:szCs w:val="18"/>
              </w:rPr>
              <w:t>0.21</w:t>
            </w:r>
          </w:p>
        </w:tc>
        <w:tc>
          <w:tcPr>
            <w:tcW w:w="850" w:type="dxa"/>
          </w:tcPr>
          <w:p w14:paraId="2E4F711B" w14:textId="77777777" w:rsidR="00B57DAF" w:rsidRPr="00C1761C" w:rsidRDefault="00B57DAF" w:rsidP="00C92EF1">
            <w:pPr>
              <w:rPr>
                <w:sz w:val="18"/>
                <w:szCs w:val="18"/>
              </w:rPr>
            </w:pPr>
            <w:r w:rsidRPr="00C1761C">
              <w:rPr>
                <w:sz w:val="18"/>
                <w:szCs w:val="18"/>
              </w:rPr>
              <w:t>45</w:t>
            </w:r>
          </w:p>
        </w:tc>
        <w:tc>
          <w:tcPr>
            <w:tcW w:w="2119" w:type="dxa"/>
          </w:tcPr>
          <w:p w14:paraId="38B2DF18" w14:textId="77777777" w:rsidR="00B57DAF" w:rsidRPr="00C1761C" w:rsidRDefault="00B57DAF" w:rsidP="00C92EF1">
            <w:pPr>
              <w:rPr>
                <w:sz w:val="18"/>
                <w:szCs w:val="18"/>
              </w:rPr>
            </w:pPr>
            <w:r w:rsidRPr="00C1761C">
              <w:rPr>
                <w:sz w:val="18"/>
                <w:szCs w:val="18"/>
              </w:rPr>
              <w:t>4, 4, 225 (127)</w:t>
            </w:r>
          </w:p>
        </w:tc>
      </w:tr>
      <w:tr w:rsidR="00B57DAF" w:rsidRPr="00C1761C" w14:paraId="325125AA" w14:textId="77777777" w:rsidTr="00C92EF1">
        <w:tc>
          <w:tcPr>
            <w:tcW w:w="1980" w:type="dxa"/>
          </w:tcPr>
          <w:p w14:paraId="5189A9BF" w14:textId="77777777" w:rsidR="00B57DAF" w:rsidRPr="00C1761C" w:rsidRDefault="00B57DAF" w:rsidP="00C92EF1">
            <w:pPr>
              <w:rPr>
                <w:sz w:val="18"/>
                <w:szCs w:val="18"/>
              </w:rPr>
            </w:pPr>
            <w:r w:rsidRPr="00C1761C">
              <w:rPr>
                <w:rFonts w:cs="Arial"/>
                <w:sz w:val="18"/>
                <w:szCs w:val="18"/>
              </w:rPr>
              <w:t>LDL-cholesterol</w:t>
            </w:r>
          </w:p>
        </w:tc>
        <w:tc>
          <w:tcPr>
            <w:tcW w:w="992" w:type="dxa"/>
          </w:tcPr>
          <w:p w14:paraId="2941E3EC" w14:textId="77777777" w:rsidR="00B57DAF" w:rsidRPr="00C1761C" w:rsidRDefault="00B57DAF" w:rsidP="00C92EF1">
            <w:pPr>
              <w:rPr>
                <w:sz w:val="18"/>
                <w:szCs w:val="18"/>
              </w:rPr>
            </w:pPr>
            <w:r w:rsidRPr="00C1761C">
              <w:rPr>
                <w:rFonts w:cs="Arial"/>
                <w:sz w:val="18"/>
                <w:szCs w:val="18"/>
              </w:rPr>
              <w:t>mmol/L</w:t>
            </w:r>
          </w:p>
        </w:tc>
        <w:tc>
          <w:tcPr>
            <w:tcW w:w="1985" w:type="dxa"/>
          </w:tcPr>
          <w:p w14:paraId="5FD19EE9" w14:textId="77777777" w:rsidR="00B57DAF" w:rsidRPr="00C1761C" w:rsidRDefault="00B57DAF" w:rsidP="00C92EF1">
            <w:pPr>
              <w:rPr>
                <w:sz w:val="18"/>
                <w:szCs w:val="18"/>
              </w:rPr>
            </w:pPr>
            <w:r w:rsidRPr="00C1761C">
              <w:rPr>
                <w:rFonts w:cs="Arial"/>
                <w:sz w:val="18"/>
                <w:szCs w:val="18"/>
              </w:rPr>
              <w:t>-0.11 (-0.29, 0.08)</w:t>
            </w:r>
          </w:p>
        </w:tc>
        <w:tc>
          <w:tcPr>
            <w:tcW w:w="1134" w:type="dxa"/>
          </w:tcPr>
          <w:p w14:paraId="07CA4A1B" w14:textId="77777777" w:rsidR="00B57DAF" w:rsidRPr="00C1761C" w:rsidRDefault="00B57DAF" w:rsidP="00C92EF1">
            <w:pPr>
              <w:rPr>
                <w:sz w:val="18"/>
                <w:szCs w:val="18"/>
              </w:rPr>
            </w:pPr>
            <w:r w:rsidRPr="00C1761C">
              <w:rPr>
                <w:sz w:val="18"/>
                <w:szCs w:val="18"/>
              </w:rPr>
              <w:t>0.25</w:t>
            </w:r>
          </w:p>
        </w:tc>
        <w:tc>
          <w:tcPr>
            <w:tcW w:w="850" w:type="dxa"/>
          </w:tcPr>
          <w:p w14:paraId="7689B224" w14:textId="77777777" w:rsidR="00B57DAF" w:rsidRPr="00C1761C" w:rsidRDefault="00B57DAF" w:rsidP="00C92EF1">
            <w:pPr>
              <w:rPr>
                <w:sz w:val="18"/>
                <w:szCs w:val="18"/>
              </w:rPr>
            </w:pPr>
            <w:r w:rsidRPr="00C1761C">
              <w:rPr>
                <w:sz w:val="18"/>
                <w:szCs w:val="18"/>
              </w:rPr>
              <w:t>27</w:t>
            </w:r>
          </w:p>
        </w:tc>
        <w:tc>
          <w:tcPr>
            <w:tcW w:w="2119" w:type="dxa"/>
          </w:tcPr>
          <w:p w14:paraId="1B840218" w14:textId="77777777" w:rsidR="00B57DAF" w:rsidRPr="00C1761C" w:rsidRDefault="00B57DAF" w:rsidP="00C92EF1">
            <w:pPr>
              <w:rPr>
                <w:sz w:val="18"/>
                <w:szCs w:val="18"/>
              </w:rPr>
            </w:pPr>
            <w:r w:rsidRPr="00C1761C">
              <w:rPr>
                <w:sz w:val="18"/>
                <w:szCs w:val="18"/>
              </w:rPr>
              <w:t>3, 3, 143 (86)</w:t>
            </w:r>
          </w:p>
        </w:tc>
      </w:tr>
      <w:tr w:rsidR="00B57DAF" w:rsidRPr="00C1761C" w14:paraId="42D7A894" w14:textId="77777777" w:rsidTr="00C92EF1">
        <w:tc>
          <w:tcPr>
            <w:tcW w:w="1980" w:type="dxa"/>
          </w:tcPr>
          <w:p w14:paraId="6E1EC784" w14:textId="77777777" w:rsidR="00B57DAF" w:rsidRPr="00C1761C" w:rsidRDefault="00B57DAF" w:rsidP="00C92EF1">
            <w:pPr>
              <w:rPr>
                <w:sz w:val="18"/>
                <w:szCs w:val="18"/>
                <w:vertAlign w:val="superscript"/>
              </w:rPr>
            </w:pPr>
            <w:r>
              <w:rPr>
                <w:rFonts w:cs="Arial"/>
                <w:sz w:val="18"/>
                <w:szCs w:val="18"/>
              </w:rPr>
              <w:t>Fasting g</w:t>
            </w:r>
            <w:r w:rsidRPr="00C1761C">
              <w:rPr>
                <w:rFonts w:cs="Arial"/>
                <w:sz w:val="18"/>
                <w:szCs w:val="18"/>
              </w:rPr>
              <w:t>lucose</w:t>
            </w:r>
            <w:r w:rsidRPr="00C1761C">
              <w:rPr>
                <w:rFonts w:cs="Arial"/>
                <w:sz w:val="18"/>
                <w:szCs w:val="18"/>
                <w:vertAlign w:val="superscript"/>
              </w:rPr>
              <w:t>4</w:t>
            </w:r>
          </w:p>
        </w:tc>
        <w:tc>
          <w:tcPr>
            <w:tcW w:w="992" w:type="dxa"/>
          </w:tcPr>
          <w:p w14:paraId="2DD90E36" w14:textId="77777777" w:rsidR="00B57DAF" w:rsidRPr="00C1761C" w:rsidRDefault="00B57DAF" w:rsidP="00C92EF1">
            <w:pPr>
              <w:rPr>
                <w:sz w:val="18"/>
                <w:szCs w:val="18"/>
              </w:rPr>
            </w:pPr>
            <w:r w:rsidRPr="00C1761C">
              <w:rPr>
                <w:rFonts w:cs="Arial"/>
                <w:sz w:val="18"/>
                <w:szCs w:val="18"/>
              </w:rPr>
              <w:t>mmol/L</w:t>
            </w:r>
          </w:p>
        </w:tc>
        <w:tc>
          <w:tcPr>
            <w:tcW w:w="1985" w:type="dxa"/>
          </w:tcPr>
          <w:p w14:paraId="7B02FFCF" w14:textId="77777777" w:rsidR="00B57DAF" w:rsidRPr="00C1761C" w:rsidRDefault="00B57DAF" w:rsidP="00C92EF1">
            <w:pPr>
              <w:rPr>
                <w:sz w:val="18"/>
                <w:szCs w:val="18"/>
              </w:rPr>
            </w:pPr>
            <w:r w:rsidRPr="00C1761C">
              <w:rPr>
                <w:rFonts w:cs="Arial"/>
                <w:sz w:val="18"/>
                <w:szCs w:val="18"/>
              </w:rPr>
              <w:t>-0.09 (-0.19, 0.00)</w:t>
            </w:r>
          </w:p>
        </w:tc>
        <w:tc>
          <w:tcPr>
            <w:tcW w:w="1134" w:type="dxa"/>
          </w:tcPr>
          <w:p w14:paraId="3D1CB25E" w14:textId="77777777" w:rsidR="00B57DAF" w:rsidRPr="00C1761C" w:rsidRDefault="00B57DAF" w:rsidP="00C92EF1">
            <w:pPr>
              <w:rPr>
                <w:sz w:val="18"/>
                <w:szCs w:val="18"/>
              </w:rPr>
            </w:pPr>
            <w:r w:rsidRPr="00C1761C">
              <w:rPr>
                <w:sz w:val="18"/>
                <w:szCs w:val="18"/>
              </w:rPr>
              <w:t>0.06</w:t>
            </w:r>
          </w:p>
        </w:tc>
        <w:tc>
          <w:tcPr>
            <w:tcW w:w="850" w:type="dxa"/>
          </w:tcPr>
          <w:p w14:paraId="10F397E5" w14:textId="77777777" w:rsidR="00B57DAF" w:rsidRPr="00C1761C" w:rsidRDefault="00B57DAF" w:rsidP="00C92EF1">
            <w:pPr>
              <w:rPr>
                <w:sz w:val="18"/>
                <w:szCs w:val="18"/>
              </w:rPr>
            </w:pPr>
            <w:r w:rsidRPr="00C1761C">
              <w:rPr>
                <w:sz w:val="18"/>
                <w:szCs w:val="18"/>
              </w:rPr>
              <w:t>15</w:t>
            </w:r>
          </w:p>
        </w:tc>
        <w:tc>
          <w:tcPr>
            <w:tcW w:w="2119" w:type="dxa"/>
          </w:tcPr>
          <w:p w14:paraId="6C16D433" w14:textId="77777777" w:rsidR="00B57DAF" w:rsidRPr="00C1761C" w:rsidRDefault="00B57DAF" w:rsidP="00C92EF1">
            <w:pPr>
              <w:rPr>
                <w:sz w:val="18"/>
                <w:szCs w:val="18"/>
              </w:rPr>
            </w:pPr>
            <w:r w:rsidRPr="00C1761C">
              <w:rPr>
                <w:sz w:val="18"/>
                <w:szCs w:val="18"/>
              </w:rPr>
              <w:t>4, 4, 187 (130)</w:t>
            </w:r>
          </w:p>
        </w:tc>
      </w:tr>
      <w:tr w:rsidR="00B57DAF" w:rsidRPr="00C1761C" w14:paraId="36B522CA" w14:textId="77777777" w:rsidTr="00C92EF1">
        <w:tc>
          <w:tcPr>
            <w:tcW w:w="9060" w:type="dxa"/>
            <w:gridSpan w:val="6"/>
          </w:tcPr>
          <w:p w14:paraId="666B1FF0" w14:textId="77777777" w:rsidR="00B57DAF" w:rsidRPr="00C1761C" w:rsidRDefault="00B57DAF" w:rsidP="00C92EF1">
            <w:pPr>
              <w:rPr>
                <w:i/>
                <w:sz w:val="18"/>
                <w:szCs w:val="18"/>
              </w:rPr>
            </w:pPr>
            <w:r>
              <w:rPr>
                <w:rFonts w:cs="Arial"/>
                <w:i/>
                <w:sz w:val="18"/>
                <w:szCs w:val="18"/>
              </w:rPr>
              <w:t>O</w:t>
            </w:r>
            <w:r w:rsidRPr="00C1761C">
              <w:rPr>
                <w:rFonts w:cs="Arial"/>
                <w:i/>
                <w:sz w:val="18"/>
                <w:szCs w:val="18"/>
              </w:rPr>
              <w:t>utcomes</w:t>
            </w:r>
            <w:r>
              <w:rPr>
                <w:rFonts w:cs="Arial"/>
                <w:i/>
                <w:sz w:val="18"/>
                <w:szCs w:val="18"/>
              </w:rPr>
              <w:t xml:space="preserve"> of secondary interest to the definition of dietary fibre (Standard 1.1.2)</w:t>
            </w:r>
          </w:p>
        </w:tc>
      </w:tr>
      <w:tr w:rsidR="00B57DAF" w:rsidRPr="00C1761C" w14:paraId="1D8BECB4" w14:textId="77777777" w:rsidTr="00C92EF1">
        <w:tc>
          <w:tcPr>
            <w:tcW w:w="1980" w:type="dxa"/>
          </w:tcPr>
          <w:p w14:paraId="5E0468BC" w14:textId="77777777" w:rsidR="00B57DAF" w:rsidRPr="00F94F00" w:rsidRDefault="00B57DAF" w:rsidP="00C92EF1">
            <w:pPr>
              <w:rPr>
                <w:rFonts w:cs="Arial"/>
                <w:sz w:val="18"/>
                <w:szCs w:val="18"/>
              </w:rPr>
            </w:pPr>
            <w:r w:rsidRPr="00F94F00">
              <w:rPr>
                <w:rFonts w:cs="Arial"/>
                <w:sz w:val="18"/>
                <w:szCs w:val="18"/>
              </w:rPr>
              <w:t>HDL-cholesterol</w:t>
            </w:r>
          </w:p>
        </w:tc>
        <w:tc>
          <w:tcPr>
            <w:tcW w:w="992" w:type="dxa"/>
          </w:tcPr>
          <w:p w14:paraId="6A32EDD4" w14:textId="77777777" w:rsidR="00B57DAF" w:rsidRPr="00F94F00" w:rsidRDefault="00B57DAF" w:rsidP="00C92EF1">
            <w:pPr>
              <w:rPr>
                <w:rFonts w:cs="Arial"/>
                <w:sz w:val="18"/>
                <w:szCs w:val="18"/>
              </w:rPr>
            </w:pPr>
            <w:r w:rsidRPr="00F94F00">
              <w:rPr>
                <w:rFonts w:cs="Arial"/>
                <w:sz w:val="18"/>
                <w:szCs w:val="18"/>
              </w:rPr>
              <w:t>mmol/L</w:t>
            </w:r>
          </w:p>
        </w:tc>
        <w:tc>
          <w:tcPr>
            <w:tcW w:w="1985" w:type="dxa"/>
          </w:tcPr>
          <w:p w14:paraId="3EDACFAF" w14:textId="77777777" w:rsidR="00B57DAF" w:rsidRPr="00F94F00" w:rsidRDefault="00B57DAF" w:rsidP="00C92EF1">
            <w:pPr>
              <w:rPr>
                <w:rFonts w:cs="Arial"/>
                <w:sz w:val="18"/>
                <w:szCs w:val="18"/>
              </w:rPr>
            </w:pPr>
            <w:r w:rsidRPr="00F94F00">
              <w:rPr>
                <w:rFonts w:cs="Arial"/>
                <w:sz w:val="18"/>
                <w:szCs w:val="18"/>
              </w:rPr>
              <w:t>-0.02 (-0.07, 0.02)</w:t>
            </w:r>
          </w:p>
        </w:tc>
        <w:tc>
          <w:tcPr>
            <w:tcW w:w="1134" w:type="dxa"/>
          </w:tcPr>
          <w:p w14:paraId="6B5E351A" w14:textId="77777777" w:rsidR="00B57DAF" w:rsidRPr="00F94F00" w:rsidRDefault="00B57DAF" w:rsidP="00C92EF1">
            <w:pPr>
              <w:rPr>
                <w:sz w:val="18"/>
                <w:szCs w:val="18"/>
              </w:rPr>
            </w:pPr>
            <w:r w:rsidRPr="00F94F00">
              <w:rPr>
                <w:sz w:val="18"/>
                <w:szCs w:val="18"/>
              </w:rPr>
              <w:t>0.31</w:t>
            </w:r>
          </w:p>
        </w:tc>
        <w:tc>
          <w:tcPr>
            <w:tcW w:w="850" w:type="dxa"/>
          </w:tcPr>
          <w:p w14:paraId="1828200F" w14:textId="77777777" w:rsidR="00B57DAF" w:rsidRPr="00F94F00" w:rsidRDefault="00B57DAF" w:rsidP="00C92EF1">
            <w:pPr>
              <w:rPr>
                <w:sz w:val="18"/>
                <w:szCs w:val="18"/>
              </w:rPr>
            </w:pPr>
            <w:r w:rsidRPr="00F94F00">
              <w:rPr>
                <w:sz w:val="18"/>
                <w:szCs w:val="18"/>
              </w:rPr>
              <w:t>0</w:t>
            </w:r>
          </w:p>
        </w:tc>
        <w:tc>
          <w:tcPr>
            <w:tcW w:w="2119" w:type="dxa"/>
          </w:tcPr>
          <w:p w14:paraId="56628B6E" w14:textId="77777777" w:rsidR="00B57DAF" w:rsidRPr="00F94F00" w:rsidRDefault="00B57DAF" w:rsidP="00C92EF1">
            <w:pPr>
              <w:rPr>
                <w:sz w:val="18"/>
                <w:szCs w:val="18"/>
              </w:rPr>
            </w:pPr>
            <w:r w:rsidRPr="00F94F00">
              <w:rPr>
                <w:sz w:val="18"/>
                <w:szCs w:val="18"/>
              </w:rPr>
              <w:t>4, 4, 225 (127)</w:t>
            </w:r>
          </w:p>
        </w:tc>
      </w:tr>
      <w:tr w:rsidR="00B57DAF" w:rsidRPr="00C1761C" w14:paraId="346E6FA3" w14:textId="77777777" w:rsidTr="00C92EF1">
        <w:tc>
          <w:tcPr>
            <w:tcW w:w="1980" w:type="dxa"/>
          </w:tcPr>
          <w:p w14:paraId="1C0484E4" w14:textId="77777777" w:rsidR="00B57DAF" w:rsidRPr="00F94F00" w:rsidRDefault="00B57DAF" w:rsidP="00C92EF1">
            <w:pPr>
              <w:rPr>
                <w:sz w:val="18"/>
                <w:szCs w:val="18"/>
              </w:rPr>
            </w:pPr>
            <w:r w:rsidRPr="00F94F00">
              <w:rPr>
                <w:rFonts w:cs="Arial"/>
                <w:sz w:val="18"/>
                <w:szCs w:val="18"/>
              </w:rPr>
              <w:t>Fasting triglycerides</w:t>
            </w:r>
            <w:r w:rsidRPr="00F94F00">
              <w:rPr>
                <w:rFonts w:cs="Arial"/>
                <w:sz w:val="18"/>
                <w:szCs w:val="18"/>
                <w:vertAlign w:val="superscript"/>
              </w:rPr>
              <w:t>4</w:t>
            </w:r>
          </w:p>
        </w:tc>
        <w:tc>
          <w:tcPr>
            <w:tcW w:w="992" w:type="dxa"/>
          </w:tcPr>
          <w:p w14:paraId="746AEDF3" w14:textId="77777777" w:rsidR="00B57DAF" w:rsidRPr="00F94F00" w:rsidRDefault="00B57DAF" w:rsidP="00C92EF1">
            <w:pPr>
              <w:rPr>
                <w:sz w:val="18"/>
                <w:szCs w:val="18"/>
              </w:rPr>
            </w:pPr>
            <w:r w:rsidRPr="00F94F00">
              <w:rPr>
                <w:rFonts w:cs="Arial"/>
                <w:sz w:val="18"/>
                <w:szCs w:val="18"/>
              </w:rPr>
              <w:t>mmol/L</w:t>
            </w:r>
          </w:p>
        </w:tc>
        <w:tc>
          <w:tcPr>
            <w:tcW w:w="1985" w:type="dxa"/>
          </w:tcPr>
          <w:p w14:paraId="45377C49" w14:textId="77777777" w:rsidR="00B57DAF" w:rsidRPr="00F94F00" w:rsidRDefault="00B57DAF" w:rsidP="00C92EF1">
            <w:pPr>
              <w:rPr>
                <w:sz w:val="18"/>
                <w:szCs w:val="18"/>
              </w:rPr>
            </w:pPr>
            <w:r w:rsidRPr="00F94F00">
              <w:rPr>
                <w:rFonts w:cs="Arial"/>
                <w:sz w:val="18"/>
                <w:szCs w:val="18"/>
              </w:rPr>
              <w:t>-0.01 (-0.12, 0.09)</w:t>
            </w:r>
          </w:p>
        </w:tc>
        <w:tc>
          <w:tcPr>
            <w:tcW w:w="1134" w:type="dxa"/>
          </w:tcPr>
          <w:p w14:paraId="7CA7E3D8" w14:textId="77777777" w:rsidR="00B57DAF" w:rsidRPr="00F94F00" w:rsidRDefault="00B57DAF" w:rsidP="00C92EF1">
            <w:pPr>
              <w:rPr>
                <w:sz w:val="18"/>
                <w:szCs w:val="18"/>
              </w:rPr>
            </w:pPr>
            <w:r w:rsidRPr="00F94F00">
              <w:rPr>
                <w:sz w:val="18"/>
                <w:szCs w:val="18"/>
              </w:rPr>
              <w:t>0.80</w:t>
            </w:r>
          </w:p>
        </w:tc>
        <w:tc>
          <w:tcPr>
            <w:tcW w:w="850" w:type="dxa"/>
          </w:tcPr>
          <w:p w14:paraId="4FDCC1D0" w14:textId="77777777" w:rsidR="00B57DAF" w:rsidRPr="00F94F00" w:rsidRDefault="00B57DAF" w:rsidP="00C92EF1">
            <w:pPr>
              <w:rPr>
                <w:sz w:val="18"/>
                <w:szCs w:val="18"/>
              </w:rPr>
            </w:pPr>
            <w:r w:rsidRPr="00F94F00">
              <w:rPr>
                <w:sz w:val="18"/>
                <w:szCs w:val="18"/>
              </w:rPr>
              <w:t>0</w:t>
            </w:r>
          </w:p>
        </w:tc>
        <w:tc>
          <w:tcPr>
            <w:tcW w:w="2119" w:type="dxa"/>
          </w:tcPr>
          <w:p w14:paraId="63043B93" w14:textId="77777777" w:rsidR="00B57DAF" w:rsidRPr="00F94F00" w:rsidRDefault="00B57DAF" w:rsidP="00C92EF1">
            <w:pPr>
              <w:rPr>
                <w:sz w:val="18"/>
                <w:szCs w:val="18"/>
              </w:rPr>
            </w:pPr>
            <w:r w:rsidRPr="00F94F00">
              <w:rPr>
                <w:sz w:val="18"/>
                <w:szCs w:val="18"/>
              </w:rPr>
              <w:t>4, 4, 187 (130)</w:t>
            </w:r>
          </w:p>
        </w:tc>
      </w:tr>
      <w:tr w:rsidR="00B57DAF" w:rsidRPr="00C1761C" w14:paraId="461F5199" w14:textId="77777777" w:rsidTr="00C92EF1">
        <w:tc>
          <w:tcPr>
            <w:tcW w:w="1980" w:type="dxa"/>
          </w:tcPr>
          <w:p w14:paraId="0BBD9603" w14:textId="77777777" w:rsidR="00B57DAF" w:rsidRPr="00F94F00" w:rsidRDefault="00B57DAF" w:rsidP="00C92EF1">
            <w:pPr>
              <w:rPr>
                <w:sz w:val="18"/>
                <w:szCs w:val="18"/>
                <w:vertAlign w:val="superscript"/>
              </w:rPr>
            </w:pPr>
            <w:r w:rsidRPr="00F94F00">
              <w:rPr>
                <w:rFonts w:cs="Arial"/>
                <w:sz w:val="18"/>
                <w:szCs w:val="18"/>
              </w:rPr>
              <w:t>Fasting insulin</w:t>
            </w:r>
            <w:r w:rsidRPr="00F94F00">
              <w:rPr>
                <w:rFonts w:cs="Arial"/>
                <w:sz w:val="18"/>
                <w:szCs w:val="18"/>
                <w:vertAlign w:val="superscript"/>
              </w:rPr>
              <w:t>4</w:t>
            </w:r>
          </w:p>
        </w:tc>
        <w:tc>
          <w:tcPr>
            <w:tcW w:w="992" w:type="dxa"/>
          </w:tcPr>
          <w:p w14:paraId="0330A3BF" w14:textId="77777777" w:rsidR="00B57DAF" w:rsidRPr="00F94F00" w:rsidRDefault="00B57DAF" w:rsidP="00C92EF1">
            <w:pPr>
              <w:rPr>
                <w:sz w:val="18"/>
                <w:szCs w:val="18"/>
              </w:rPr>
            </w:pPr>
            <w:r w:rsidRPr="00F94F00">
              <w:rPr>
                <w:rFonts w:cs="Arial"/>
                <w:sz w:val="18"/>
                <w:szCs w:val="18"/>
                <w:lang w:bidi="ar-SA"/>
              </w:rPr>
              <w:t>p</w:t>
            </w:r>
            <w:r w:rsidRPr="00F94F00">
              <w:rPr>
                <w:rFonts w:cs="Arial"/>
                <w:sz w:val="18"/>
                <w:szCs w:val="18"/>
              </w:rPr>
              <w:t>mol/L</w:t>
            </w:r>
          </w:p>
        </w:tc>
        <w:tc>
          <w:tcPr>
            <w:tcW w:w="1985" w:type="dxa"/>
          </w:tcPr>
          <w:p w14:paraId="7C0681C4" w14:textId="77777777" w:rsidR="00B57DAF" w:rsidRPr="00F94F00" w:rsidRDefault="00B57DAF" w:rsidP="00C92EF1">
            <w:pPr>
              <w:rPr>
                <w:sz w:val="18"/>
                <w:szCs w:val="18"/>
                <w:vertAlign w:val="superscript"/>
              </w:rPr>
            </w:pPr>
            <w:r w:rsidRPr="00F94F00">
              <w:rPr>
                <w:rFonts w:cs="Arial"/>
                <w:sz w:val="18"/>
                <w:szCs w:val="18"/>
              </w:rPr>
              <w:t>-8.92 (-18.0, 0.15)</w:t>
            </w:r>
            <w:r w:rsidRPr="00F94F00">
              <w:rPr>
                <w:rFonts w:cs="Arial"/>
                <w:sz w:val="18"/>
                <w:szCs w:val="18"/>
                <w:vertAlign w:val="superscript"/>
              </w:rPr>
              <w:t>5</w:t>
            </w:r>
          </w:p>
        </w:tc>
        <w:tc>
          <w:tcPr>
            <w:tcW w:w="1134" w:type="dxa"/>
          </w:tcPr>
          <w:p w14:paraId="20AD42EE" w14:textId="77777777" w:rsidR="00B57DAF" w:rsidRPr="00F94F00" w:rsidRDefault="00B57DAF" w:rsidP="00C92EF1">
            <w:pPr>
              <w:rPr>
                <w:sz w:val="18"/>
                <w:szCs w:val="18"/>
              </w:rPr>
            </w:pPr>
            <w:r w:rsidRPr="00F94F00">
              <w:rPr>
                <w:sz w:val="18"/>
                <w:szCs w:val="18"/>
              </w:rPr>
              <w:t>0.05</w:t>
            </w:r>
          </w:p>
        </w:tc>
        <w:tc>
          <w:tcPr>
            <w:tcW w:w="850" w:type="dxa"/>
          </w:tcPr>
          <w:p w14:paraId="31ED5F48" w14:textId="77777777" w:rsidR="00B57DAF" w:rsidRPr="00F94F00" w:rsidRDefault="00B57DAF" w:rsidP="00C92EF1">
            <w:pPr>
              <w:rPr>
                <w:sz w:val="18"/>
                <w:szCs w:val="18"/>
              </w:rPr>
            </w:pPr>
            <w:r w:rsidRPr="00F94F00">
              <w:rPr>
                <w:sz w:val="18"/>
                <w:szCs w:val="18"/>
              </w:rPr>
              <w:t>10</w:t>
            </w:r>
          </w:p>
        </w:tc>
        <w:tc>
          <w:tcPr>
            <w:tcW w:w="2119" w:type="dxa"/>
          </w:tcPr>
          <w:p w14:paraId="7A6D172F" w14:textId="77777777" w:rsidR="00B57DAF" w:rsidRPr="00F94F00" w:rsidRDefault="00B57DAF" w:rsidP="00C92EF1">
            <w:pPr>
              <w:rPr>
                <w:sz w:val="18"/>
                <w:szCs w:val="18"/>
              </w:rPr>
            </w:pPr>
            <w:r w:rsidRPr="00F94F00">
              <w:rPr>
                <w:sz w:val="18"/>
                <w:szCs w:val="18"/>
              </w:rPr>
              <w:t>4, 4, 187 (130)</w:t>
            </w:r>
          </w:p>
        </w:tc>
      </w:tr>
      <w:tr w:rsidR="00B57DAF" w:rsidRPr="00C1761C" w14:paraId="5BC4AB7A" w14:textId="77777777" w:rsidTr="00C92EF1">
        <w:tc>
          <w:tcPr>
            <w:tcW w:w="1980" w:type="dxa"/>
          </w:tcPr>
          <w:p w14:paraId="3A8A273C" w14:textId="77777777" w:rsidR="00B57DAF" w:rsidRPr="00F94F00" w:rsidRDefault="00B57DAF" w:rsidP="00C92EF1">
            <w:pPr>
              <w:rPr>
                <w:sz w:val="18"/>
                <w:szCs w:val="18"/>
              </w:rPr>
            </w:pPr>
            <w:r w:rsidRPr="00F94F00">
              <w:rPr>
                <w:rFonts w:cs="Arial"/>
                <w:sz w:val="18"/>
                <w:szCs w:val="18"/>
              </w:rPr>
              <w:t>HOMA-IR</w:t>
            </w:r>
          </w:p>
        </w:tc>
        <w:tc>
          <w:tcPr>
            <w:tcW w:w="992" w:type="dxa"/>
          </w:tcPr>
          <w:p w14:paraId="610FFBAA" w14:textId="77777777" w:rsidR="00B57DAF" w:rsidRPr="00F94F00" w:rsidRDefault="00B57DAF" w:rsidP="00C92EF1">
            <w:pPr>
              <w:rPr>
                <w:sz w:val="18"/>
                <w:szCs w:val="18"/>
              </w:rPr>
            </w:pPr>
          </w:p>
        </w:tc>
        <w:tc>
          <w:tcPr>
            <w:tcW w:w="1985" w:type="dxa"/>
          </w:tcPr>
          <w:p w14:paraId="3D36A4EA" w14:textId="77777777" w:rsidR="00B57DAF" w:rsidRPr="00F94F00" w:rsidRDefault="00B57DAF" w:rsidP="00C92EF1">
            <w:pPr>
              <w:rPr>
                <w:rFonts w:cs="Arial"/>
                <w:sz w:val="18"/>
                <w:szCs w:val="18"/>
              </w:rPr>
            </w:pPr>
            <w:r w:rsidRPr="00F94F00">
              <w:rPr>
                <w:rFonts w:cs="Arial"/>
                <w:sz w:val="18"/>
                <w:szCs w:val="18"/>
              </w:rPr>
              <w:t>0.34 (-0.36, 1.04)</w:t>
            </w:r>
          </w:p>
        </w:tc>
        <w:tc>
          <w:tcPr>
            <w:tcW w:w="1134" w:type="dxa"/>
          </w:tcPr>
          <w:p w14:paraId="74617E05" w14:textId="77777777" w:rsidR="00B57DAF" w:rsidRPr="00F94F00" w:rsidRDefault="00B57DAF" w:rsidP="00C92EF1">
            <w:pPr>
              <w:rPr>
                <w:sz w:val="18"/>
                <w:szCs w:val="18"/>
              </w:rPr>
            </w:pPr>
            <w:r w:rsidRPr="00F94F00">
              <w:rPr>
                <w:sz w:val="18"/>
                <w:szCs w:val="18"/>
              </w:rPr>
              <w:t>0.34</w:t>
            </w:r>
          </w:p>
        </w:tc>
        <w:tc>
          <w:tcPr>
            <w:tcW w:w="850" w:type="dxa"/>
          </w:tcPr>
          <w:p w14:paraId="5B2C7DED" w14:textId="77777777" w:rsidR="00B57DAF" w:rsidRPr="00F94F00" w:rsidRDefault="00B57DAF" w:rsidP="00C92EF1">
            <w:pPr>
              <w:rPr>
                <w:sz w:val="18"/>
                <w:szCs w:val="18"/>
              </w:rPr>
            </w:pPr>
            <w:r w:rsidRPr="00F94F00">
              <w:rPr>
                <w:sz w:val="18"/>
                <w:szCs w:val="18"/>
              </w:rPr>
              <w:t>0</w:t>
            </w:r>
          </w:p>
        </w:tc>
        <w:tc>
          <w:tcPr>
            <w:tcW w:w="2119" w:type="dxa"/>
          </w:tcPr>
          <w:p w14:paraId="54E7CD88" w14:textId="77777777" w:rsidR="00B57DAF" w:rsidRPr="00F94F00" w:rsidRDefault="00B57DAF" w:rsidP="00C92EF1">
            <w:pPr>
              <w:rPr>
                <w:sz w:val="18"/>
                <w:szCs w:val="18"/>
              </w:rPr>
            </w:pPr>
            <w:r w:rsidRPr="00F94F00">
              <w:rPr>
                <w:sz w:val="18"/>
                <w:szCs w:val="18"/>
              </w:rPr>
              <w:t>2, 2, 73 (73)</w:t>
            </w:r>
          </w:p>
        </w:tc>
      </w:tr>
    </w:tbl>
    <w:p w14:paraId="22F355B1" w14:textId="77777777" w:rsidR="00B57DAF" w:rsidRPr="00914769" w:rsidRDefault="00B57DAF" w:rsidP="00B57DAF">
      <w:pPr>
        <w:rPr>
          <w:rFonts w:cs="Arial"/>
          <w:sz w:val="18"/>
          <w:szCs w:val="18"/>
          <w:lang w:bidi="ar-SA"/>
        </w:rPr>
      </w:pPr>
      <w:r w:rsidRPr="00C1761C">
        <w:rPr>
          <w:rFonts w:cs="Arial"/>
          <w:sz w:val="18"/>
          <w:szCs w:val="18"/>
        </w:rPr>
        <w:t>CI, confidence interval;</w:t>
      </w:r>
      <w:r w:rsidRPr="00C1761C">
        <w:rPr>
          <w:sz w:val="18"/>
          <w:szCs w:val="18"/>
        </w:rPr>
        <w:t xml:space="preserve"> L, litre; LDL</w:t>
      </w:r>
      <w:r w:rsidRPr="00C1761C">
        <w:rPr>
          <w:rFonts w:cs="Arial"/>
          <w:sz w:val="18"/>
          <w:szCs w:val="18"/>
        </w:rPr>
        <w:t>, low density lipoprotein;</w:t>
      </w:r>
      <w:r w:rsidRPr="00C1761C">
        <w:rPr>
          <w:sz w:val="18"/>
          <w:szCs w:val="18"/>
        </w:rPr>
        <w:t xml:space="preserve"> HDL, high density lipoprotein; </w:t>
      </w:r>
      <w:r w:rsidRPr="00C1761C">
        <w:rPr>
          <w:rFonts w:cs="Arial"/>
          <w:sz w:val="18"/>
          <w:szCs w:val="18"/>
        </w:rPr>
        <w:t>HOMA-IR, homeostatic model assessm</w:t>
      </w:r>
      <w:r w:rsidRPr="00B262FD">
        <w:rPr>
          <w:rFonts w:cs="Arial"/>
          <w:sz w:val="18"/>
          <w:szCs w:val="18"/>
        </w:rPr>
        <w:t>ent of insulin resistance</w:t>
      </w:r>
      <w:r>
        <w:rPr>
          <w:rFonts w:cs="Arial"/>
          <w:sz w:val="18"/>
          <w:szCs w:val="18"/>
        </w:rPr>
        <w:t xml:space="preserve">. </w:t>
      </w:r>
      <w:r>
        <w:rPr>
          <w:rFonts w:cs="Arial"/>
          <w:sz w:val="18"/>
          <w:szCs w:val="18"/>
          <w:vertAlign w:val="superscript"/>
        </w:rPr>
        <w:t>1</w:t>
      </w:r>
      <w:r w:rsidRPr="00960FD1">
        <w:rPr>
          <w:rFonts w:cs="Arial"/>
          <w:sz w:val="18"/>
          <w:szCs w:val="18"/>
        </w:rPr>
        <w:t>M</w:t>
      </w:r>
      <w:r>
        <w:rPr>
          <w:rFonts w:cs="Arial"/>
          <w:sz w:val="18"/>
          <w:szCs w:val="18"/>
        </w:rPr>
        <w:t>ean difference is calculated as intervention minus placebo</w:t>
      </w:r>
      <w:r w:rsidRPr="006545C6">
        <w:rPr>
          <w:rFonts w:cs="Arial"/>
          <w:sz w:val="18"/>
          <w:szCs w:val="18"/>
        </w:rPr>
        <w:t xml:space="preserve">. </w:t>
      </w:r>
      <w:r w:rsidRPr="006545C6">
        <w:rPr>
          <w:rFonts w:cs="Arial"/>
          <w:sz w:val="18"/>
          <w:szCs w:val="18"/>
          <w:vertAlign w:val="superscript"/>
        </w:rPr>
        <w:t>2</w:t>
      </w:r>
      <w:r w:rsidRPr="006545C6">
        <w:rPr>
          <w:rFonts w:cs="Arial"/>
          <w:i/>
          <w:sz w:val="18"/>
          <w:szCs w:val="18"/>
        </w:rPr>
        <w:t>P</w:t>
      </w:r>
      <w:r>
        <w:rPr>
          <w:rFonts w:cs="Arial"/>
          <w:i/>
          <w:sz w:val="18"/>
          <w:szCs w:val="18"/>
        </w:rPr>
        <w:t>-value</w:t>
      </w:r>
      <w:r w:rsidRPr="006545C6">
        <w:rPr>
          <w:rFonts w:cs="Arial"/>
          <w:i/>
          <w:sz w:val="18"/>
          <w:szCs w:val="18"/>
        </w:rPr>
        <w:t xml:space="preserve"> </w:t>
      </w:r>
      <w:r w:rsidRPr="006545C6">
        <w:rPr>
          <w:sz w:val="18"/>
          <w:szCs w:val="18"/>
        </w:rPr>
        <w:t>pertains to overall</w:t>
      </w:r>
      <w:r>
        <w:rPr>
          <w:sz w:val="18"/>
          <w:szCs w:val="18"/>
        </w:rPr>
        <w:t xml:space="preserve"> mean difference (i.e. effect size)</w:t>
      </w:r>
      <w:r w:rsidRPr="006545C6">
        <w:rPr>
          <w:sz w:val="18"/>
          <w:szCs w:val="18"/>
        </w:rPr>
        <w:t>.</w:t>
      </w:r>
      <w:r>
        <w:rPr>
          <w:sz w:val="18"/>
          <w:szCs w:val="18"/>
        </w:rPr>
        <w:t xml:space="preserve"> </w:t>
      </w:r>
      <w:r>
        <w:rPr>
          <w:sz w:val="18"/>
          <w:szCs w:val="18"/>
          <w:vertAlign w:val="superscript"/>
        </w:rPr>
        <w:t>3</w:t>
      </w:r>
      <w:r>
        <w:rPr>
          <w:sz w:val="18"/>
          <w:szCs w:val="18"/>
        </w:rPr>
        <w:t xml:space="preserve">The number of individuals reflects the sample size entered into the meta-analysis, with the value in brackets representing the number of unique individuals (the sum of sample sizes from each study) included in the meta-analysis. Differences between values are due to sample sizes being treated differently depending on the study design (that is, </w:t>
      </w:r>
      <w:r>
        <w:rPr>
          <w:rFonts w:cs="Arial"/>
          <w:sz w:val="18"/>
          <w:szCs w:val="18"/>
          <w:lang w:bidi="ar-SA"/>
        </w:rPr>
        <w:t>crossover versus</w:t>
      </w:r>
      <w:r w:rsidRPr="00CB0110">
        <w:rPr>
          <w:rFonts w:cs="Arial"/>
          <w:sz w:val="18"/>
          <w:szCs w:val="18"/>
          <w:lang w:bidi="ar-SA"/>
        </w:rPr>
        <w:t xml:space="preserve"> </w:t>
      </w:r>
      <w:r>
        <w:rPr>
          <w:rFonts w:cs="Arial"/>
          <w:sz w:val="18"/>
          <w:szCs w:val="18"/>
          <w:lang w:bidi="ar-SA"/>
        </w:rPr>
        <w:t xml:space="preserve">parallel </w:t>
      </w:r>
      <w:r w:rsidRPr="00CB0110">
        <w:rPr>
          <w:rFonts w:cs="Arial"/>
          <w:sz w:val="18"/>
          <w:szCs w:val="18"/>
          <w:lang w:bidi="ar-SA"/>
        </w:rPr>
        <w:t>controlled trials</w:t>
      </w:r>
      <w:r>
        <w:rPr>
          <w:rFonts w:cs="Arial"/>
          <w:sz w:val="18"/>
          <w:szCs w:val="18"/>
          <w:lang w:bidi="ar-SA"/>
        </w:rPr>
        <w:t xml:space="preserve">, with </w:t>
      </w:r>
      <w:r w:rsidRPr="00427186">
        <w:rPr>
          <w:rFonts w:cs="Arial"/>
          <w:sz w:val="18"/>
          <w:szCs w:val="18"/>
          <w:lang w:bidi="ar-SA"/>
        </w:rPr>
        <w:t xml:space="preserve">participants from </w:t>
      </w:r>
      <w:r w:rsidRPr="00C1761C">
        <w:rPr>
          <w:rFonts w:cs="Arial"/>
          <w:sz w:val="18"/>
          <w:szCs w:val="18"/>
          <w:lang w:bidi="ar-SA"/>
        </w:rPr>
        <w:t xml:space="preserve">crossover studies acting as their own control and, thus, increasing the non-bracketed value entered in to the meta-analysis). </w:t>
      </w:r>
      <w:r w:rsidRPr="00C1761C">
        <w:rPr>
          <w:rFonts w:cs="Arial"/>
          <w:sz w:val="18"/>
          <w:szCs w:val="18"/>
          <w:vertAlign w:val="superscript"/>
          <w:lang w:bidi="ar-SA"/>
        </w:rPr>
        <w:t>4</w:t>
      </w:r>
      <w:r w:rsidRPr="00C1761C">
        <w:rPr>
          <w:rFonts w:cs="Arial"/>
          <w:sz w:val="18"/>
          <w:szCs w:val="18"/>
          <w:lang w:bidi="ar-SA"/>
        </w:rPr>
        <w:t>Fasting status confirmed by three of four studies</w:t>
      </w:r>
      <w:r>
        <w:rPr>
          <w:rFonts w:cs="Arial"/>
          <w:sz w:val="18"/>
          <w:szCs w:val="18"/>
          <w:lang w:bidi="ar-SA"/>
        </w:rPr>
        <w:t xml:space="preserve"> and assumed for one study (Vulevic et al. 2013)</w:t>
      </w:r>
      <w:r w:rsidRPr="00C1761C">
        <w:rPr>
          <w:rFonts w:cs="Arial"/>
          <w:sz w:val="18"/>
          <w:szCs w:val="18"/>
          <w:lang w:bidi="ar-SA"/>
        </w:rPr>
        <w:t xml:space="preserve">. </w:t>
      </w:r>
      <w:r w:rsidRPr="00C1761C">
        <w:rPr>
          <w:rFonts w:cs="Arial"/>
          <w:sz w:val="18"/>
          <w:szCs w:val="18"/>
          <w:vertAlign w:val="superscript"/>
          <w:lang w:bidi="ar-SA"/>
        </w:rPr>
        <w:t>5</w:t>
      </w:r>
      <w:r w:rsidRPr="00C1761C">
        <w:rPr>
          <w:rFonts w:cs="Arial"/>
          <w:sz w:val="18"/>
          <w:szCs w:val="18"/>
          <w:lang w:bidi="ar-SA"/>
        </w:rPr>
        <w:t xml:space="preserve">Equates to -1.49 (-3.00, 0.025) </w:t>
      </w:r>
      <w:r w:rsidRPr="00C1761C">
        <w:rPr>
          <w:sz w:val="18"/>
          <w:szCs w:val="18"/>
          <w:lang w:bidi="ar-SA"/>
        </w:rPr>
        <w:t>mU/L</w:t>
      </w:r>
      <w:r w:rsidRPr="00C1761C">
        <w:rPr>
          <w:rFonts w:cs="Arial"/>
          <w:sz w:val="18"/>
          <w:szCs w:val="18"/>
          <w:lang w:bidi="ar-SA"/>
        </w:rPr>
        <w:t>,</w:t>
      </w:r>
      <w:r w:rsidRPr="00C1761C">
        <w:rPr>
          <w:sz w:val="18"/>
          <w:szCs w:val="18"/>
          <w:lang w:bidi="ar-SA"/>
        </w:rPr>
        <w:t xml:space="preserve"> using the conversion factor: 1 </w:t>
      </w:r>
      <w:r>
        <w:rPr>
          <w:rFonts w:cs="Arial"/>
          <w:sz w:val="18"/>
          <w:szCs w:val="18"/>
          <w:lang w:bidi="ar-SA"/>
        </w:rPr>
        <w:t>µIU/mL = 6.00 pmol/L (Knopp et al. 2019</w:t>
      </w:r>
      <w:r w:rsidRPr="00C1761C">
        <w:rPr>
          <w:rFonts w:cs="Arial"/>
          <w:sz w:val="18"/>
          <w:szCs w:val="18"/>
          <w:lang w:bidi="ar-SA"/>
        </w:rPr>
        <w:t>).</w:t>
      </w:r>
    </w:p>
    <w:p w14:paraId="6C2B3021" w14:textId="77777777" w:rsidR="00B57DAF" w:rsidRDefault="00B57DAF" w:rsidP="00B57DAF">
      <w:pPr>
        <w:rPr>
          <w:rFonts w:cs="Arial"/>
          <w:b/>
        </w:rPr>
      </w:pPr>
    </w:p>
    <w:p w14:paraId="4FE2511B" w14:textId="77777777" w:rsidR="00B57DAF" w:rsidRDefault="00B57DAF" w:rsidP="00B57DAF">
      <w:pPr>
        <w:rPr>
          <w:rFonts w:cs="Arial"/>
          <w:b/>
        </w:rPr>
      </w:pPr>
    </w:p>
    <w:p w14:paraId="384E6109" w14:textId="28CD9036" w:rsidR="00B57DAF" w:rsidRPr="00985185" w:rsidRDefault="00B57DAF" w:rsidP="00B57DAF">
      <w:pPr>
        <w:rPr>
          <w:rFonts w:cs="Arial"/>
        </w:rPr>
      </w:pPr>
      <w:r>
        <w:rPr>
          <w:rFonts w:cs="Arial"/>
          <w:b/>
        </w:rPr>
        <w:t xml:space="preserve">Table </w:t>
      </w:r>
      <w:r w:rsidR="002131C1">
        <w:rPr>
          <w:rFonts w:cs="Arial"/>
          <w:b/>
        </w:rPr>
        <w:t>6</w:t>
      </w:r>
      <w:r>
        <w:rPr>
          <w:rFonts w:cs="Arial"/>
          <w:b/>
        </w:rPr>
        <w:t>: Strengths and limitations of our assessment.</w:t>
      </w:r>
    </w:p>
    <w:tbl>
      <w:tblPr>
        <w:tblStyle w:val="TableGrid"/>
        <w:tblW w:w="0" w:type="auto"/>
        <w:tblLook w:val="04A0" w:firstRow="1" w:lastRow="0" w:firstColumn="1" w:lastColumn="0" w:noHBand="0" w:noVBand="1"/>
        <w:tblCaption w:val="Table 6: Strengths and limitations of our assessment."/>
        <w:tblDescription w:val="Table 6 contains two columns. Column 1 lists the strengths of our assessment. Column 2 lists the limitations of our assessment."/>
      </w:tblPr>
      <w:tblGrid>
        <w:gridCol w:w="4957"/>
        <w:gridCol w:w="4103"/>
      </w:tblGrid>
      <w:tr w:rsidR="00B57DAF" w14:paraId="0054AFC7" w14:textId="77777777" w:rsidTr="00C92EF1">
        <w:tc>
          <w:tcPr>
            <w:tcW w:w="4957" w:type="dxa"/>
          </w:tcPr>
          <w:p w14:paraId="31ED6326" w14:textId="77777777" w:rsidR="00B57DAF" w:rsidRPr="00DA0022" w:rsidRDefault="00B57DAF" w:rsidP="00C92EF1">
            <w:pPr>
              <w:rPr>
                <w:rFonts w:cs="Arial"/>
                <w:b/>
                <w:sz w:val="18"/>
                <w:szCs w:val="18"/>
                <w:lang w:bidi="ar-SA"/>
              </w:rPr>
            </w:pPr>
            <w:r w:rsidRPr="00DA0022">
              <w:rPr>
                <w:rFonts w:cs="Arial"/>
                <w:b/>
                <w:sz w:val="18"/>
                <w:szCs w:val="18"/>
                <w:lang w:bidi="ar-SA"/>
              </w:rPr>
              <w:t>Strengths</w:t>
            </w:r>
          </w:p>
        </w:tc>
        <w:tc>
          <w:tcPr>
            <w:tcW w:w="4103" w:type="dxa"/>
          </w:tcPr>
          <w:p w14:paraId="7B016A37" w14:textId="77777777" w:rsidR="00B57DAF" w:rsidRPr="00DA0022" w:rsidRDefault="00B57DAF" w:rsidP="00C92EF1">
            <w:pPr>
              <w:rPr>
                <w:rFonts w:cs="Arial"/>
                <w:b/>
                <w:sz w:val="18"/>
                <w:szCs w:val="18"/>
                <w:lang w:bidi="ar-SA"/>
              </w:rPr>
            </w:pPr>
            <w:r w:rsidRPr="00DA0022">
              <w:rPr>
                <w:b/>
                <w:sz w:val="18"/>
                <w:szCs w:val="18"/>
                <w:lang w:bidi="ar-SA"/>
              </w:rPr>
              <w:t>Limitations</w:t>
            </w:r>
          </w:p>
        </w:tc>
      </w:tr>
      <w:tr w:rsidR="00B57DAF" w14:paraId="566E267F" w14:textId="77777777" w:rsidTr="00C92EF1">
        <w:tc>
          <w:tcPr>
            <w:tcW w:w="4957" w:type="dxa"/>
          </w:tcPr>
          <w:p w14:paraId="4BE81911" w14:textId="77777777" w:rsidR="00B57DAF" w:rsidRPr="00CB0110" w:rsidRDefault="00B57DAF" w:rsidP="00C92EF1">
            <w:pPr>
              <w:rPr>
                <w:rFonts w:cs="Arial"/>
                <w:sz w:val="18"/>
                <w:szCs w:val="18"/>
                <w:lang w:bidi="ar-SA"/>
              </w:rPr>
            </w:pPr>
            <w:r>
              <w:rPr>
                <w:rFonts w:cs="Arial"/>
                <w:sz w:val="18"/>
                <w:szCs w:val="18"/>
                <w:lang w:bidi="ar-SA"/>
              </w:rPr>
              <w:t>T</w:t>
            </w:r>
            <w:r w:rsidRPr="00CB0110">
              <w:rPr>
                <w:rFonts w:cs="Arial"/>
                <w:sz w:val="18"/>
                <w:szCs w:val="18"/>
                <w:lang w:bidi="ar-SA"/>
              </w:rPr>
              <w:t xml:space="preserve">he inclusion of all </w:t>
            </w:r>
            <w:r>
              <w:rPr>
                <w:rFonts w:cs="Arial"/>
                <w:sz w:val="18"/>
                <w:szCs w:val="18"/>
                <w:lang w:bidi="ar-SA"/>
              </w:rPr>
              <w:t>d</w:t>
            </w:r>
            <w:r w:rsidRPr="00CB0110">
              <w:rPr>
                <w:rFonts w:cs="Arial"/>
                <w:sz w:val="18"/>
                <w:szCs w:val="18"/>
                <w:lang w:bidi="ar-SA"/>
              </w:rPr>
              <w:t>ata from all identified studies in humans that measured any outcome</w:t>
            </w:r>
            <w:r>
              <w:rPr>
                <w:rFonts w:cs="Arial"/>
                <w:sz w:val="18"/>
                <w:szCs w:val="18"/>
                <w:lang w:bidi="ar-SA"/>
              </w:rPr>
              <w:t xml:space="preserve"> of direct or indirect relevance</w:t>
            </w:r>
            <w:r w:rsidRPr="00CB0110">
              <w:rPr>
                <w:rFonts w:cs="Arial"/>
                <w:sz w:val="18"/>
                <w:szCs w:val="18"/>
                <w:lang w:bidi="ar-SA"/>
              </w:rPr>
              <w:t xml:space="preserve"> to the three physiological effects</w:t>
            </w:r>
            <w:r>
              <w:rPr>
                <w:rFonts w:cs="Arial"/>
                <w:sz w:val="18"/>
                <w:szCs w:val="18"/>
                <w:lang w:bidi="ar-SA"/>
              </w:rPr>
              <w:t>.</w:t>
            </w:r>
          </w:p>
        </w:tc>
        <w:tc>
          <w:tcPr>
            <w:tcW w:w="4103" w:type="dxa"/>
          </w:tcPr>
          <w:p w14:paraId="22168EB9" w14:textId="77777777" w:rsidR="00B57DAF" w:rsidRPr="00CB0110" w:rsidRDefault="00B57DAF" w:rsidP="00C92EF1">
            <w:pPr>
              <w:rPr>
                <w:rFonts w:cs="Arial"/>
                <w:sz w:val="18"/>
                <w:szCs w:val="18"/>
                <w:lang w:bidi="ar-SA"/>
              </w:rPr>
            </w:pPr>
            <w:r>
              <w:rPr>
                <w:rFonts w:cs="Arial"/>
                <w:sz w:val="18"/>
                <w:szCs w:val="18"/>
                <w:lang w:bidi="ar-SA"/>
              </w:rPr>
              <w:t>Publication bias could not be ascertained because of the small number of trials. In general, p</w:t>
            </w:r>
            <w:r w:rsidRPr="00CB0110">
              <w:rPr>
                <w:rFonts w:cs="Arial"/>
                <w:sz w:val="18"/>
                <w:szCs w:val="18"/>
                <w:lang w:bidi="ar-SA"/>
              </w:rPr>
              <w:t>ublication bias</w:t>
            </w:r>
            <w:r>
              <w:rPr>
                <w:rFonts w:cs="Arial"/>
                <w:sz w:val="18"/>
                <w:szCs w:val="18"/>
                <w:lang w:bidi="ar-SA"/>
              </w:rPr>
              <w:t xml:space="preserve"> tends to favour studies reporting ‘positive’ results and leads to an overestimation of the true mean effect size.</w:t>
            </w:r>
          </w:p>
        </w:tc>
      </w:tr>
      <w:tr w:rsidR="00B57DAF" w14:paraId="0B26C1F2" w14:textId="77777777" w:rsidTr="00C92EF1">
        <w:tc>
          <w:tcPr>
            <w:tcW w:w="4957" w:type="dxa"/>
          </w:tcPr>
          <w:p w14:paraId="5AC7C76D" w14:textId="77777777" w:rsidR="00B57DAF" w:rsidRPr="00CB0110" w:rsidRDefault="00B57DAF" w:rsidP="00C92EF1">
            <w:pPr>
              <w:rPr>
                <w:rFonts w:cs="Arial"/>
                <w:sz w:val="18"/>
                <w:szCs w:val="18"/>
                <w:lang w:bidi="ar-SA"/>
              </w:rPr>
            </w:pPr>
            <w:r>
              <w:rPr>
                <w:rFonts w:cs="Arial"/>
                <w:sz w:val="18"/>
                <w:szCs w:val="18"/>
                <w:lang w:bidi="ar-SA"/>
              </w:rPr>
              <w:t xml:space="preserve">Effect sizes were estimated using </w:t>
            </w:r>
            <w:r w:rsidRPr="00CB0110">
              <w:rPr>
                <w:rFonts w:cs="Arial"/>
                <w:sz w:val="18"/>
                <w:szCs w:val="18"/>
                <w:lang w:bidi="ar-SA"/>
              </w:rPr>
              <w:t xml:space="preserve">meta-analyses. Pooling data increases our </w:t>
            </w:r>
            <w:r>
              <w:rPr>
                <w:rFonts w:cs="Arial"/>
                <w:sz w:val="18"/>
                <w:szCs w:val="18"/>
                <w:lang w:bidi="ar-SA"/>
              </w:rPr>
              <w:t xml:space="preserve">ability </w:t>
            </w:r>
            <w:r w:rsidRPr="00CB0110">
              <w:rPr>
                <w:rFonts w:cs="Arial"/>
                <w:sz w:val="18"/>
                <w:szCs w:val="18"/>
                <w:lang w:bidi="ar-SA"/>
              </w:rPr>
              <w:t xml:space="preserve">to detect a real effect if one exists, </w:t>
            </w:r>
            <w:r>
              <w:rPr>
                <w:rFonts w:cs="Arial"/>
                <w:sz w:val="18"/>
                <w:szCs w:val="18"/>
                <w:lang w:bidi="ar-SA"/>
              </w:rPr>
              <w:t>improves our estimation of the size and direction of effect together with a 95% level of confidence</w:t>
            </w:r>
            <w:r w:rsidRPr="00CB0110">
              <w:rPr>
                <w:rFonts w:cs="Arial"/>
                <w:sz w:val="18"/>
                <w:szCs w:val="18"/>
                <w:lang w:bidi="ar-SA"/>
              </w:rPr>
              <w:t xml:space="preserve">, and decreases </w:t>
            </w:r>
            <w:r>
              <w:rPr>
                <w:rFonts w:cs="Arial"/>
                <w:sz w:val="18"/>
                <w:szCs w:val="18"/>
                <w:lang w:bidi="ar-SA"/>
              </w:rPr>
              <w:t xml:space="preserve">the risk of </w:t>
            </w:r>
            <w:r w:rsidRPr="00CB0110">
              <w:rPr>
                <w:rFonts w:cs="Arial"/>
                <w:sz w:val="18"/>
                <w:szCs w:val="18"/>
                <w:lang w:bidi="ar-SA"/>
              </w:rPr>
              <w:t xml:space="preserve">reviewers’ bias in interpreting </w:t>
            </w:r>
            <w:r>
              <w:rPr>
                <w:rFonts w:cs="Arial"/>
                <w:sz w:val="18"/>
                <w:szCs w:val="18"/>
                <w:lang w:bidi="ar-SA"/>
              </w:rPr>
              <w:t>differing</w:t>
            </w:r>
            <w:r w:rsidRPr="00CB0110">
              <w:rPr>
                <w:rFonts w:cs="Arial"/>
                <w:sz w:val="18"/>
                <w:szCs w:val="18"/>
                <w:lang w:bidi="ar-SA"/>
              </w:rPr>
              <w:t xml:space="preserve"> results</w:t>
            </w:r>
            <w:r>
              <w:rPr>
                <w:rFonts w:cs="Arial"/>
                <w:sz w:val="18"/>
                <w:szCs w:val="18"/>
                <w:lang w:bidi="ar-SA"/>
              </w:rPr>
              <w:t xml:space="preserve"> from individual studies</w:t>
            </w:r>
            <w:r w:rsidRPr="00CB0110">
              <w:rPr>
                <w:rFonts w:cs="Arial"/>
                <w:sz w:val="18"/>
                <w:szCs w:val="18"/>
                <w:lang w:bidi="ar-SA"/>
              </w:rPr>
              <w:t>.</w:t>
            </w:r>
          </w:p>
        </w:tc>
        <w:tc>
          <w:tcPr>
            <w:tcW w:w="4103" w:type="dxa"/>
          </w:tcPr>
          <w:p w14:paraId="3D3A9303" w14:textId="4C215848" w:rsidR="00B57DAF" w:rsidRPr="00CB0110" w:rsidRDefault="00B57DAF" w:rsidP="004C293F">
            <w:pPr>
              <w:rPr>
                <w:rFonts w:cs="Arial"/>
                <w:sz w:val="18"/>
                <w:szCs w:val="18"/>
                <w:lang w:bidi="ar-SA"/>
              </w:rPr>
            </w:pPr>
            <w:r>
              <w:rPr>
                <w:rFonts w:cs="Arial"/>
                <w:sz w:val="18"/>
                <w:szCs w:val="18"/>
                <w:lang w:bidi="ar-SA"/>
              </w:rPr>
              <w:t>All the studies included in the meta-analyses</w:t>
            </w:r>
            <w:r w:rsidRPr="00CB0110">
              <w:rPr>
                <w:rFonts w:cs="Arial"/>
                <w:sz w:val="18"/>
                <w:szCs w:val="18"/>
                <w:lang w:bidi="ar-SA"/>
              </w:rPr>
              <w:t xml:space="preserve"> </w:t>
            </w:r>
            <w:r>
              <w:rPr>
                <w:rFonts w:cs="Arial"/>
                <w:sz w:val="18"/>
                <w:szCs w:val="18"/>
                <w:lang w:bidi="ar-SA"/>
              </w:rPr>
              <w:t>had links to commercial interests. The small number of studies prevented subgroup analysis to assess possible</w:t>
            </w:r>
            <w:r w:rsidRPr="004C293F">
              <w:rPr>
                <w:rFonts w:cs="Arial"/>
                <w:sz w:val="18"/>
                <w:szCs w:val="18"/>
                <w:lang w:bidi="ar-SA"/>
              </w:rPr>
              <w:t xml:space="preserve"> bias of industry links on overall results (see Table </w:t>
            </w:r>
            <w:r w:rsidR="004C293F" w:rsidRPr="004C293F">
              <w:rPr>
                <w:rFonts w:cs="Arial"/>
                <w:sz w:val="18"/>
                <w:szCs w:val="18"/>
                <w:lang w:bidi="ar-SA"/>
              </w:rPr>
              <w:t>7</w:t>
            </w:r>
            <w:r w:rsidR="004C293F" w:rsidRPr="004C293F">
              <w:rPr>
                <w:rFonts w:cs="Arial"/>
                <w:sz w:val="18"/>
                <w:szCs w:val="18"/>
              </w:rPr>
              <w:t>, Appendix Section 2.5</w:t>
            </w:r>
            <w:r w:rsidRPr="004C293F">
              <w:rPr>
                <w:rFonts w:cs="Arial"/>
                <w:sz w:val="18"/>
                <w:szCs w:val="18"/>
                <w:lang w:bidi="ar-SA"/>
              </w:rPr>
              <w:t>).</w:t>
            </w:r>
          </w:p>
        </w:tc>
      </w:tr>
      <w:tr w:rsidR="00B57DAF" w14:paraId="2869452B" w14:textId="77777777" w:rsidTr="00C92EF1">
        <w:tc>
          <w:tcPr>
            <w:tcW w:w="4957" w:type="dxa"/>
          </w:tcPr>
          <w:p w14:paraId="68EB0AF2" w14:textId="62733DEB" w:rsidR="00B57DAF" w:rsidRPr="00B81A22" w:rsidRDefault="00B57DAF" w:rsidP="00C92EF1">
            <w:pPr>
              <w:rPr>
                <w:rFonts w:cs="Arial"/>
                <w:sz w:val="18"/>
                <w:szCs w:val="18"/>
                <w:highlight w:val="magenta"/>
                <w:lang w:bidi="ar-SA"/>
              </w:rPr>
            </w:pPr>
            <w:r w:rsidRPr="00737AFD">
              <w:rPr>
                <w:rFonts w:cs="Arial"/>
                <w:sz w:val="18"/>
                <w:szCs w:val="18"/>
                <w:lang w:bidi="ar-SA"/>
              </w:rPr>
              <w:t xml:space="preserve">Outcomes are assessed across a range of </w:t>
            </w:r>
            <w:r>
              <w:rPr>
                <w:rFonts w:cs="Arial"/>
                <w:sz w:val="18"/>
                <w:szCs w:val="18"/>
                <w:lang w:bidi="ar-SA"/>
              </w:rPr>
              <w:t>intake</w:t>
            </w:r>
            <w:r w:rsidRPr="00737AFD">
              <w:rPr>
                <w:rFonts w:cs="Arial"/>
                <w:sz w:val="18"/>
                <w:szCs w:val="18"/>
                <w:lang w:bidi="ar-SA"/>
              </w:rPr>
              <w:t xml:space="preserve"> levels, from 2.5 g to 15.0 g added</w:t>
            </w:r>
            <w:r>
              <w:rPr>
                <w:rFonts w:cs="Arial"/>
                <w:sz w:val="18"/>
                <w:szCs w:val="18"/>
                <w:lang w:bidi="ar-SA"/>
              </w:rPr>
              <w:t xml:space="preserve"> </w:t>
            </w:r>
            <w:r w:rsidR="00C92EF1">
              <w:rPr>
                <w:rFonts w:cs="Arial"/>
                <w:sz w:val="18"/>
                <w:szCs w:val="18"/>
                <w:lang w:bidi="ar-SA"/>
              </w:rPr>
              <w:t>GOS</w:t>
            </w:r>
            <w:r w:rsidRPr="00737AFD">
              <w:rPr>
                <w:rFonts w:cs="Arial"/>
                <w:sz w:val="18"/>
                <w:szCs w:val="18"/>
                <w:lang w:bidi="ar-SA"/>
              </w:rPr>
              <w:t xml:space="preserve"> per day</w:t>
            </w:r>
            <w:r>
              <w:rPr>
                <w:rFonts w:cs="Arial"/>
                <w:sz w:val="18"/>
                <w:szCs w:val="18"/>
                <w:lang w:bidi="ar-SA"/>
              </w:rPr>
              <w:t xml:space="preserve"> (in addi</w:t>
            </w:r>
            <w:r w:rsidR="00522B60">
              <w:rPr>
                <w:rFonts w:cs="Arial"/>
                <w:sz w:val="18"/>
                <w:szCs w:val="18"/>
                <w:lang w:bidi="ar-SA"/>
              </w:rPr>
              <w:t xml:space="preserve">tion to the intake of naturally </w:t>
            </w:r>
            <w:r>
              <w:rPr>
                <w:rFonts w:cs="Arial"/>
                <w:sz w:val="18"/>
                <w:szCs w:val="18"/>
                <w:lang w:bidi="ar-SA"/>
              </w:rPr>
              <w:t>occurring amounts in the habitual diet, common to all participants)</w:t>
            </w:r>
            <w:r w:rsidRPr="00737AFD">
              <w:rPr>
                <w:rFonts w:cs="Arial"/>
                <w:sz w:val="18"/>
                <w:szCs w:val="18"/>
                <w:lang w:bidi="ar-SA"/>
              </w:rPr>
              <w:t xml:space="preserve">. </w:t>
            </w:r>
            <w:r>
              <w:rPr>
                <w:rFonts w:cs="Arial"/>
                <w:sz w:val="18"/>
                <w:szCs w:val="18"/>
                <w:lang w:bidi="ar-SA"/>
              </w:rPr>
              <w:t>Many of these intake levels are likely to be higher than actual consumption. However, this may change if</w:t>
            </w:r>
            <w:r w:rsidRPr="00737AFD">
              <w:rPr>
                <w:rFonts w:cs="Arial"/>
                <w:sz w:val="18"/>
                <w:szCs w:val="18"/>
                <w:lang w:bidi="ar-SA"/>
              </w:rPr>
              <w:t xml:space="preserve"> a potential approval of AOAC Method 2017.16</w:t>
            </w:r>
            <w:r>
              <w:rPr>
                <w:rFonts w:cs="Arial"/>
                <w:sz w:val="18"/>
                <w:szCs w:val="18"/>
                <w:lang w:bidi="ar-SA"/>
              </w:rPr>
              <w:t xml:space="preserve"> and a reduction in cost to produce synthetic analogues</w:t>
            </w:r>
            <w:r w:rsidRPr="00737AFD">
              <w:rPr>
                <w:rFonts w:cs="Arial"/>
                <w:sz w:val="18"/>
                <w:szCs w:val="18"/>
                <w:lang w:bidi="ar-SA"/>
              </w:rPr>
              <w:t xml:space="preserve"> encourages manufacturers to increase the</w:t>
            </w:r>
            <w:r>
              <w:rPr>
                <w:rFonts w:cs="Arial"/>
                <w:sz w:val="18"/>
                <w:szCs w:val="18"/>
                <w:lang w:bidi="ar-SA"/>
              </w:rPr>
              <w:t>ir</w:t>
            </w:r>
            <w:r w:rsidRPr="00737AFD">
              <w:rPr>
                <w:rFonts w:cs="Arial"/>
                <w:sz w:val="18"/>
                <w:szCs w:val="18"/>
                <w:lang w:bidi="ar-SA"/>
              </w:rPr>
              <w:t xml:space="preserve"> addition of </w:t>
            </w:r>
            <w:r w:rsidR="00C92EF1">
              <w:rPr>
                <w:rFonts w:cs="Arial"/>
                <w:sz w:val="18"/>
                <w:szCs w:val="18"/>
                <w:lang w:bidi="ar-SA"/>
              </w:rPr>
              <w:t>GOS</w:t>
            </w:r>
            <w:r w:rsidRPr="00737AFD">
              <w:rPr>
                <w:rFonts w:cs="Arial"/>
                <w:sz w:val="18"/>
                <w:szCs w:val="18"/>
                <w:lang w:bidi="ar-SA"/>
              </w:rPr>
              <w:t xml:space="preserve"> to foods for commercial interests.</w:t>
            </w:r>
          </w:p>
        </w:tc>
        <w:tc>
          <w:tcPr>
            <w:tcW w:w="4103" w:type="dxa"/>
          </w:tcPr>
          <w:p w14:paraId="1C0FE24C" w14:textId="7B2C56A3" w:rsidR="00B57DAF" w:rsidRPr="00B81A22" w:rsidRDefault="00B57DAF" w:rsidP="004E6B0B">
            <w:pPr>
              <w:widowControl/>
              <w:rPr>
                <w:rFonts w:ascii="Times New Roman" w:hAnsi="Times New Roman"/>
                <w:sz w:val="24"/>
                <w:highlight w:val="magenta"/>
                <w:lang w:eastAsia="en-GB" w:bidi="ar-SA"/>
              </w:rPr>
            </w:pPr>
            <w:r w:rsidRPr="00737AFD">
              <w:rPr>
                <w:rFonts w:cs="Arial"/>
                <w:sz w:val="18"/>
                <w:szCs w:val="18"/>
                <w:lang w:bidi="ar-SA"/>
              </w:rPr>
              <w:t xml:space="preserve">The current intake of added </w:t>
            </w:r>
            <w:r w:rsidR="00C92EF1">
              <w:rPr>
                <w:rFonts w:cs="Arial"/>
                <w:sz w:val="18"/>
                <w:szCs w:val="18"/>
                <w:lang w:bidi="ar-SA"/>
              </w:rPr>
              <w:t>GOS</w:t>
            </w:r>
            <w:r w:rsidRPr="00737AFD">
              <w:rPr>
                <w:rFonts w:cs="Arial"/>
                <w:sz w:val="18"/>
                <w:szCs w:val="18"/>
                <w:lang w:bidi="ar-SA"/>
              </w:rPr>
              <w:t xml:space="preserve"> is likely to be </w:t>
            </w:r>
            <w:r>
              <w:rPr>
                <w:rFonts w:cs="Arial"/>
                <w:sz w:val="18"/>
                <w:szCs w:val="18"/>
                <w:lang w:bidi="ar-SA"/>
              </w:rPr>
              <w:t>substantially lower than the intake</w:t>
            </w:r>
            <w:r w:rsidRPr="00737AFD">
              <w:rPr>
                <w:rFonts w:cs="Arial"/>
                <w:sz w:val="18"/>
                <w:szCs w:val="18"/>
                <w:lang w:bidi="ar-SA"/>
              </w:rPr>
              <w:t xml:space="preserve"> levels tested in the intervention arms. As such, the </w:t>
            </w:r>
            <w:r w:rsidR="00931380">
              <w:rPr>
                <w:rFonts w:cs="Arial"/>
                <w:sz w:val="18"/>
                <w:szCs w:val="18"/>
                <w:lang w:bidi="ar-SA"/>
              </w:rPr>
              <w:t xml:space="preserve">size of the </w:t>
            </w:r>
            <w:r w:rsidRPr="00737AFD">
              <w:rPr>
                <w:rFonts w:cs="Arial"/>
                <w:sz w:val="18"/>
                <w:szCs w:val="18"/>
                <w:lang w:bidi="ar-SA"/>
              </w:rPr>
              <w:t>effects shown in Table</w:t>
            </w:r>
            <w:r>
              <w:rPr>
                <w:rFonts w:cs="Arial"/>
                <w:sz w:val="18"/>
                <w:szCs w:val="18"/>
                <w:lang w:bidi="ar-SA"/>
              </w:rPr>
              <w:t>s</w:t>
            </w:r>
            <w:r w:rsidRPr="00737AFD">
              <w:rPr>
                <w:rFonts w:cs="Arial"/>
                <w:sz w:val="18"/>
                <w:szCs w:val="18"/>
                <w:lang w:bidi="ar-SA"/>
              </w:rPr>
              <w:t xml:space="preserve"> 1</w:t>
            </w:r>
            <w:r w:rsidR="00171B30">
              <w:rPr>
                <w:rFonts w:cs="Arial"/>
                <w:sz w:val="18"/>
                <w:szCs w:val="18"/>
                <w:lang w:bidi="ar-SA"/>
              </w:rPr>
              <w:t xml:space="preserve"> and </w:t>
            </w:r>
            <w:r w:rsidR="00292B17">
              <w:rPr>
                <w:rFonts w:cs="Arial"/>
                <w:sz w:val="18"/>
                <w:szCs w:val="18"/>
                <w:lang w:bidi="ar-SA"/>
              </w:rPr>
              <w:t>5</w:t>
            </w:r>
            <w:r w:rsidR="00931380">
              <w:rPr>
                <w:rFonts w:cs="Arial"/>
                <w:sz w:val="18"/>
                <w:szCs w:val="18"/>
                <w:lang w:bidi="ar-SA"/>
              </w:rPr>
              <w:t>, small as they are,</w:t>
            </w:r>
            <w:r w:rsidRPr="00737AFD">
              <w:rPr>
                <w:rFonts w:cs="Arial"/>
                <w:sz w:val="18"/>
                <w:szCs w:val="18"/>
                <w:lang w:bidi="ar-SA"/>
              </w:rPr>
              <w:t xml:space="preserve"> are likely to be </w:t>
            </w:r>
            <w:r w:rsidR="004E6B0B">
              <w:rPr>
                <w:rFonts w:cs="Arial"/>
                <w:sz w:val="18"/>
                <w:szCs w:val="18"/>
                <w:lang w:bidi="ar-SA"/>
              </w:rPr>
              <w:t xml:space="preserve">even smaller </w:t>
            </w:r>
            <w:r w:rsidR="00077BAB">
              <w:rPr>
                <w:rFonts w:cs="Arial"/>
                <w:sz w:val="18"/>
                <w:szCs w:val="18"/>
                <w:lang w:bidi="ar-SA"/>
              </w:rPr>
              <w:t>in practice</w:t>
            </w:r>
            <w:r w:rsidR="00096897">
              <w:rPr>
                <w:rFonts w:cs="Arial"/>
                <w:sz w:val="18"/>
                <w:szCs w:val="18"/>
                <w:lang w:bidi="ar-SA"/>
              </w:rPr>
              <w:t>.</w:t>
            </w:r>
          </w:p>
        </w:tc>
      </w:tr>
      <w:tr w:rsidR="00545D8D" w14:paraId="3F9A575F" w14:textId="77777777" w:rsidTr="00C92EF1">
        <w:tc>
          <w:tcPr>
            <w:tcW w:w="4957" w:type="dxa"/>
          </w:tcPr>
          <w:p w14:paraId="698F4801" w14:textId="77777777" w:rsidR="00545D8D" w:rsidRDefault="00545D8D" w:rsidP="00545D8D">
            <w:pPr>
              <w:rPr>
                <w:rFonts w:cs="Arial"/>
                <w:sz w:val="18"/>
                <w:szCs w:val="18"/>
                <w:lang w:bidi="ar-SA"/>
              </w:rPr>
            </w:pPr>
            <w:r>
              <w:rPr>
                <w:rFonts w:cs="Arial"/>
                <w:sz w:val="18"/>
                <w:szCs w:val="18"/>
                <w:lang w:bidi="ar-SA"/>
              </w:rPr>
              <w:t xml:space="preserve">The </w:t>
            </w:r>
            <w:r w:rsidRPr="00CB0110">
              <w:rPr>
                <w:rFonts w:cs="Arial"/>
                <w:sz w:val="18"/>
                <w:szCs w:val="18"/>
                <w:lang w:bidi="ar-SA"/>
              </w:rPr>
              <w:t xml:space="preserve">studies </w:t>
            </w:r>
            <w:r>
              <w:rPr>
                <w:rFonts w:cs="Arial"/>
                <w:sz w:val="18"/>
                <w:szCs w:val="18"/>
                <w:lang w:bidi="ar-SA"/>
              </w:rPr>
              <w:t xml:space="preserve">included in the meta-analyses </w:t>
            </w:r>
            <w:r w:rsidRPr="00CB0110">
              <w:rPr>
                <w:rFonts w:cs="Arial"/>
                <w:sz w:val="18"/>
                <w:szCs w:val="18"/>
                <w:lang w:bidi="ar-SA"/>
              </w:rPr>
              <w:t>were</w:t>
            </w:r>
            <w:r>
              <w:rPr>
                <w:rFonts w:cs="Arial"/>
                <w:sz w:val="18"/>
                <w:szCs w:val="18"/>
                <w:lang w:bidi="ar-SA"/>
              </w:rPr>
              <w:t xml:space="preserve"> </w:t>
            </w:r>
            <w:r w:rsidRPr="00CB0110">
              <w:rPr>
                <w:rFonts w:cs="Arial"/>
                <w:sz w:val="18"/>
                <w:szCs w:val="18"/>
                <w:lang w:bidi="ar-SA"/>
              </w:rPr>
              <w:t>crossover</w:t>
            </w:r>
            <w:r>
              <w:rPr>
                <w:rFonts w:cs="Arial"/>
                <w:sz w:val="18"/>
                <w:szCs w:val="18"/>
                <w:lang w:bidi="ar-SA"/>
              </w:rPr>
              <w:t xml:space="preserve"> </w:t>
            </w:r>
            <w:r w:rsidRPr="00CB0110">
              <w:rPr>
                <w:rFonts w:cs="Arial"/>
                <w:sz w:val="18"/>
                <w:szCs w:val="18"/>
                <w:lang w:bidi="ar-SA"/>
              </w:rPr>
              <w:t xml:space="preserve">or </w:t>
            </w:r>
            <w:r>
              <w:rPr>
                <w:rFonts w:cs="Arial"/>
                <w:sz w:val="18"/>
                <w:szCs w:val="18"/>
                <w:lang w:bidi="ar-SA"/>
              </w:rPr>
              <w:t xml:space="preserve">parallel </w:t>
            </w:r>
            <w:r w:rsidRPr="00CB0110">
              <w:rPr>
                <w:rFonts w:cs="Arial"/>
                <w:sz w:val="18"/>
                <w:szCs w:val="18"/>
                <w:lang w:bidi="ar-SA"/>
              </w:rPr>
              <w:t>controlled trials</w:t>
            </w:r>
            <w:r>
              <w:rPr>
                <w:rFonts w:cs="Arial"/>
                <w:sz w:val="18"/>
                <w:szCs w:val="18"/>
                <w:lang w:bidi="ar-SA"/>
              </w:rPr>
              <w:t xml:space="preserve"> </w:t>
            </w:r>
            <w:r w:rsidRPr="00CB0110">
              <w:rPr>
                <w:rFonts w:cs="Arial"/>
                <w:sz w:val="18"/>
                <w:szCs w:val="18"/>
                <w:lang w:bidi="ar-SA"/>
              </w:rPr>
              <w:t>and included a placebo control</w:t>
            </w:r>
            <w:r>
              <w:rPr>
                <w:rFonts w:cs="Arial"/>
                <w:sz w:val="18"/>
                <w:szCs w:val="18"/>
                <w:lang w:bidi="ar-SA"/>
              </w:rPr>
              <w:t xml:space="preserve">. Five of seven studies were randomised. Randomisation was not stated for one </w:t>
            </w:r>
            <w:r w:rsidRPr="00CB0110">
              <w:rPr>
                <w:rFonts w:cs="Arial"/>
                <w:sz w:val="18"/>
                <w:szCs w:val="18"/>
                <w:lang w:bidi="ar-SA"/>
              </w:rPr>
              <w:t>crossover</w:t>
            </w:r>
            <w:r>
              <w:rPr>
                <w:rFonts w:cs="Arial"/>
                <w:sz w:val="18"/>
                <w:szCs w:val="18"/>
                <w:lang w:bidi="ar-SA"/>
              </w:rPr>
              <w:t xml:space="preserve"> and one</w:t>
            </w:r>
            <w:r w:rsidRPr="00CB0110">
              <w:rPr>
                <w:rFonts w:cs="Arial"/>
                <w:sz w:val="18"/>
                <w:szCs w:val="18"/>
                <w:lang w:bidi="ar-SA"/>
              </w:rPr>
              <w:t xml:space="preserve"> </w:t>
            </w:r>
            <w:r>
              <w:rPr>
                <w:rFonts w:cs="Arial"/>
                <w:sz w:val="18"/>
                <w:szCs w:val="18"/>
                <w:lang w:bidi="ar-SA"/>
              </w:rPr>
              <w:t xml:space="preserve">parallel </w:t>
            </w:r>
            <w:r w:rsidRPr="00CB0110">
              <w:rPr>
                <w:rFonts w:cs="Arial"/>
                <w:sz w:val="18"/>
                <w:szCs w:val="18"/>
                <w:lang w:bidi="ar-SA"/>
              </w:rPr>
              <w:t>con</w:t>
            </w:r>
            <w:r>
              <w:rPr>
                <w:rFonts w:cs="Arial"/>
                <w:sz w:val="18"/>
                <w:szCs w:val="18"/>
                <w:lang w:bidi="ar-SA"/>
              </w:rPr>
              <w:t>trolled trial (authors were contacted for clarification but did not respond).</w:t>
            </w:r>
          </w:p>
        </w:tc>
        <w:tc>
          <w:tcPr>
            <w:tcW w:w="4103" w:type="dxa"/>
          </w:tcPr>
          <w:p w14:paraId="38CA2FD9" w14:textId="41DEE9C8" w:rsidR="00545D8D" w:rsidRDefault="00545D8D" w:rsidP="00545D8D">
            <w:pPr>
              <w:rPr>
                <w:rFonts w:cs="Arial"/>
                <w:sz w:val="18"/>
                <w:szCs w:val="18"/>
                <w:lang w:bidi="ar-SA"/>
              </w:rPr>
            </w:pPr>
            <w:r>
              <w:rPr>
                <w:rFonts w:cs="Arial"/>
                <w:sz w:val="18"/>
                <w:szCs w:val="18"/>
                <w:lang w:bidi="ar-SA"/>
              </w:rPr>
              <w:t>Commercial GOS mixtures are variable in their structure which may contribute to physiological effects differently.</w:t>
            </w:r>
          </w:p>
        </w:tc>
      </w:tr>
      <w:tr w:rsidR="00545D8D" w14:paraId="7821DCC9" w14:textId="77777777" w:rsidTr="00C92EF1">
        <w:tc>
          <w:tcPr>
            <w:tcW w:w="4957" w:type="dxa"/>
          </w:tcPr>
          <w:p w14:paraId="1F16B28D" w14:textId="77777777" w:rsidR="00545D8D" w:rsidRPr="00CB0110" w:rsidRDefault="00545D8D" w:rsidP="00545D8D">
            <w:pPr>
              <w:rPr>
                <w:rFonts w:cs="Arial"/>
                <w:sz w:val="18"/>
                <w:szCs w:val="18"/>
                <w:lang w:bidi="ar-SA"/>
              </w:rPr>
            </w:pPr>
          </w:p>
        </w:tc>
        <w:tc>
          <w:tcPr>
            <w:tcW w:w="4103" w:type="dxa"/>
          </w:tcPr>
          <w:p w14:paraId="44CC994C" w14:textId="77777777" w:rsidR="00545D8D" w:rsidRPr="00CB0110" w:rsidRDefault="00545D8D" w:rsidP="00545D8D">
            <w:pPr>
              <w:rPr>
                <w:rFonts w:cs="Arial"/>
                <w:sz w:val="18"/>
                <w:szCs w:val="18"/>
                <w:lang w:bidi="ar-SA"/>
              </w:rPr>
            </w:pPr>
            <w:r>
              <w:rPr>
                <w:rFonts w:cs="Arial"/>
                <w:sz w:val="18"/>
                <w:szCs w:val="18"/>
                <w:lang w:bidi="ar-SA"/>
              </w:rPr>
              <w:t>A formal risk of bias checklist was not completed.</w:t>
            </w:r>
          </w:p>
        </w:tc>
      </w:tr>
      <w:tr w:rsidR="00545D8D" w14:paraId="3B2C6BD4" w14:textId="77777777" w:rsidTr="00C92EF1">
        <w:tc>
          <w:tcPr>
            <w:tcW w:w="4957" w:type="dxa"/>
          </w:tcPr>
          <w:p w14:paraId="4620059A" w14:textId="77777777" w:rsidR="00545D8D" w:rsidRDefault="00545D8D" w:rsidP="00545D8D">
            <w:pPr>
              <w:rPr>
                <w:rFonts w:cs="Arial"/>
                <w:sz w:val="18"/>
                <w:szCs w:val="18"/>
                <w:lang w:bidi="ar-SA"/>
              </w:rPr>
            </w:pPr>
          </w:p>
        </w:tc>
        <w:tc>
          <w:tcPr>
            <w:tcW w:w="4103" w:type="dxa"/>
          </w:tcPr>
          <w:p w14:paraId="5583C514" w14:textId="77777777" w:rsidR="00545D8D" w:rsidRPr="00CB0110" w:rsidRDefault="00545D8D" w:rsidP="00545D8D">
            <w:pPr>
              <w:rPr>
                <w:rFonts w:cs="Arial"/>
                <w:sz w:val="18"/>
                <w:szCs w:val="18"/>
                <w:lang w:bidi="ar-SA"/>
              </w:rPr>
            </w:pPr>
            <w:r>
              <w:rPr>
                <w:rFonts w:cs="Arial"/>
                <w:sz w:val="18"/>
                <w:szCs w:val="18"/>
                <w:lang w:bidi="ar-SA"/>
              </w:rPr>
              <w:t>Data was not extracted in duplicate.</w:t>
            </w:r>
          </w:p>
        </w:tc>
      </w:tr>
    </w:tbl>
    <w:p w14:paraId="3F9B253A" w14:textId="22DA7217" w:rsidR="00B57DAF" w:rsidRDefault="00C92EF1" w:rsidP="00B57DAF">
      <w:r>
        <w:rPr>
          <w:rFonts w:cs="Arial"/>
          <w:sz w:val="18"/>
          <w:szCs w:val="18"/>
        </w:rPr>
        <w:t>GOS, galacto-oligosaccharides.</w:t>
      </w:r>
    </w:p>
    <w:p w14:paraId="20BAA133" w14:textId="5F1B1BC2" w:rsidR="003330E5" w:rsidRDefault="003330E5" w:rsidP="00153DA3">
      <w:pPr>
        <w:rPr>
          <w:lang w:bidi="ar-SA"/>
        </w:rPr>
      </w:pPr>
    </w:p>
    <w:p w14:paraId="2E04D564" w14:textId="77777777" w:rsidR="00C92EF1" w:rsidRPr="00053A9B" w:rsidRDefault="00C92EF1" w:rsidP="00153DA3">
      <w:pPr>
        <w:rPr>
          <w:lang w:bidi="ar-SA"/>
        </w:rPr>
      </w:pPr>
    </w:p>
    <w:p w14:paraId="690C2199" w14:textId="1A4690A8" w:rsidR="003D7003" w:rsidRDefault="00F73110" w:rsidP="0073104D">
      <w:pPr>
        <w:pStyle w:val="Heading2"/>
      </w:pPr>
      <w:bookmarkStart w:id="27" w:name="_Toc64561465"/>
      <w:bookmarkStart w:id="28" w:name="_Toc66868367"/>
      <w:r>
        <w:t>2.2.1</w:t>
      </w:r>
      <w:r w:rsidR="003D7003" w:rsidRPr="00B52107">
        <w:t xml:space="preserve"> </w:t>
      </w:r>
      <w:r w:rsidR="003D7003">
        <w:t>Laxation: review methodology and results</w:t>
      </w:r>
      <w:bookmarkEnd w:id="27"/>
      <w:bookmarkEnd w:id="28"/>
    </w:p>
    <w:p w14:paraId="4B8275D8" w14:textId="33815B00" w:rsidR="00EE6D4C" w:rsidRDefault="000C70CF" w:rsidP="00EE6D4C">
      <w:pPr>
        <w:rPr>
          <w:rFonts w:cs="Arial"/>
          <w:szCs w:val="22"/>
        </w:rPr>
      </w:pPr>
      <w:r>
        <w:rPr>
          <w:lang w:bidi="ar-SA"/>
        </w:rPr>
        <w:t xml:space="preserve">We identified original research publications using the search terms, galacto-oligosaccharides and, stool or faecal weight, and a hand search of relevant reviews’ reference lists. The applicant did not identify any further studies. Four studies (Ito et al. 1990, Bouhnik et al. 1997, van Dokkum et al. 1999, and Alles et al. 1999) report outcomes </w:t>
      </w:r>
      <w:r>
        <w:rPr>
          <w:lang w:bidi="ar-SA"/>
        </w:rPr>
        <w:lastRenderedPageBreak/>
        <w:t xml:space="preserve">expressed as absolute change </w:t>
      </w:r>
      <w:r w:rsidR="00037BB5">
        <w:rPr>
          <w:lang w:bidi="ar-SA"/>
        </w:rPr>
        <w:t>in</w:t>
      </w:r>
      <w:r>
        <w:rPr>
          <w:lang w:bidi="ar-SA"/>
        </w:rPr>
        <w:t xml:space="preserve"> stool weight, from which we calculated the relative change.</w:t>
      </w:r>
      <w:r>
        <w:rPr>
          <w:rFonts w:cs="Arial"/>
        </w:rPr>
        <w:t xml:space="preserve"> The </w:t>
      </w:r>
      <w:r w:rsidR="00D15866">
        <w:rPr>
          <w:rFonts w:cs="Arial"/>
        </w:rPr>
        <w:t xml:space="preserve">study </w:t>
      </w:r>
      <w:r w:rsidR="00FA40BF">
        <w:rPr>
          <w:rFonts w:cs="Arial"/>
        </w:rPr>
        <w:t>by Bouhnik et al. (1997) was</w:t>
      </w:r>
      <w:r w:rsidR="00D15866">
        <w:rPr>
          <w:rFonts w:cs="Arial"/>
        </w:rPr>
        <w:t xml:space="preserve"> excluded because it lacked</w:t>
      </w:r>
      <w:r>
        <w:rPr>
          <w:rFonts w:cs="Arial"/>
        </w:rPr>
        <w:t xml:space="preserve"> a control group.</w:t>
      </w:r>
      <w:r w:rsidR="00EE6D4C">
        <w:rPr>
          <w:rFonts w:cs="Arial"/>
        </w:rPr>
        <w:t xml:space="preserve"> </w:t>
      </w:r>
      <w:r w:rsidR="00EE6D4C">
        <w:rPr>
          <w:rFonts w:cs="Arial"/>
          <w:szCs w:val="22"/>
        </w:rPr>
        <w:t xml:space="preserve">Data extraction, conversion, and analyses are explained in Table </w:t>
      </w:r>
      <w:r w:rsidR="00A65AE0">
        <w:rPr>
          <w:rFonts w:cs="Arial"/>
          <w:szCs w:val="22"/>
        </w:rPr>
        <w:t>2</w:t>
      </w:r>
      <w:r w:rsidR="00EE6D4C">
        <w:rPr>
          <w:rFonts w:cs="Arial"/>
          <w:szCs w:val="22"/>
        </w:rPr>
        <w:t xml:space="preserve"> footnotes and </w:t>
      </w:r>
      <w:r w:rsidR="0075189F">
        <w:rPr>
          <w:rFonts w:cs="Arial"/>
          <w:szCs w:val="22"/>
        </w:rPr>
        <w:t xml:space="preserve">Appendix </w:t>
      </w:r>
      <w:r w:rsidR="00EE6D4C">
        <w:rPr>
          <w:rFonts w:cs="Arial"/>
          <w:szCs w:val="22"/>
        </w:rPr>
        <w:t>Section 2.6.</w:t>
      </w:r>
    </w:p>
    <w:p w14:paraId="365A9BC1" w14:textId="489BB7AC" w:rsidR="009B5F79" w:rsidRDefault="009B5F79" w:rsidP="000C70CF">
      <w:pPr>
        <w:rPr>
          <w:rFonts w:cs="Arial"/>
        </w:rPr>
      </w:pPr>
    </w:p>
    <w:p w14:paraId="39C0750E" w14:textId="3B69F086" w:rsidR="00406245" w:rsidRPr="007A596C" w:rsidRDefault="009B5F79" w:rsidP="007A596C">
      <w:pPr>
        <w:rPr>
          <w:rFonts w:cs="Arial"/>
          <w:szCs w:val="22"/>
        </w:rPr>
      </w:pPr>
      <w:r>
        <w:rPr>
          <w:rFonts w:cs="Arial"/>
        </w:rPr>
        <w:t xml:space="preserve">We conducted a review of studies reporting on the effect of </w:t>
      </w:r>
      <w:r w:rsidR="00C92EF1">
        <w:rPr>
          <w:rFonts w:cs="Arial"/>
        </w:rPr>
        <w:t>GOS</w:t>
      </w:r>
      <w:r>
        <w:rPr>
          <w:rFonts w:cs="Arial"/>
        </w:rPr>
        <w:t xml:space="preserve"> intake on additional quantitative laxative outcomes: bowel movement or stool frequency; or, intestinal transit time. For efficiency, we planned to first categorise results as positive, negative, neutral, or mixed. If a positive or mixed effect emerged in the majority of studies, we planned </w:t>
      </w:r>
      <w:r w:rsidR="003460A1">
        <w:rPr>
          <w:rFonts w:cs="Arial"/>
        </w:rPr>
        <w:t xml:space="preserve">secondly </w:t>
      </w:r>
      <w:r>
        <w:rPr>
          <w:rFonts w:cs="Arial"/>
        </w:rPr>
        <w:t>to conduct a rigorous appraisal of the studies’ methodology</w:t>
      </w:r>
      <w:r w:rsidR="00097BE5">
        <w:rPr>
          <w:rFonts w:cs="Arial"/>
        </w:rPr>
        <w:t xml:space="preserve"> and results</w:t>
      </w:r>
      <w:r>
        <w:rPr>
          <w:rFonts w:cs="Arial"/>
        </w:rPr>
        <w:t xml:space="preserve">. </w:t>
      </w:r>
      <w:r w:rsidR="007A596C">
        <w:rPr>
          <w:rFonts w:cs="Arial"/>
        </w:rPr>
        <w:t xml:space="preserve">We identified eight studies </w:t>
      </w:r>
      <w:r w:rsidR="007A596C">
        <w:rPr>
          <w:rFonts w:cs="Arial"/>
          <w:szCs w:val="22"/>
        </w:rPr>
        <w:t>reporting self-reported stool frequency and intestinal transit time</w:t>
      </w:r>
      <w:r w:rsidR="007A596C">
        <w:rPr>
          <w:rFonts w:cs="Arial"/>
        </w:rPr>
        <w:t xml:space="preserve"> </w:t>
      </w:r>
      <w:r w:rsidR="007A596C">
        <w:rPr>
          <w:rFonts w:cs="Arial"/>
          <w:szCs w:val="22"/>
        </w:rPr>
        <w:t>(Ito et al. 1990, van Dokkum et al. 1999, Alles et al. 1999, Canfora et al. 2017, Davis et al. 2010, Piirainen et al. 2008, Teuri &amp; Korpela 1998, and Whisner et al. 2013).</w:t>
      </w:r>
      <w:r w:rsidR="007A596C" w:rsidRPr="007A596C">
        <w:rPr>
          <w:rFonts w:cs="Arial"/>
          <w:szCs w:val="22"/>
        </w:rPr>
        <w:t xml:space="preserve"> </w:t>
      </w:r>
      <w:r w:rsidR="007A596C">
        <w:rPr>
          <w:rFonts w:cs="Arial"/>
          <w:szCs w:val="22"/>
        </w:rPr>
        <w:t xml:space="preserve">Although Canfora et al. (2017) state that participants did not report </w:t>
      </w:r>
      <w:r w:rsidR="00E139C2">
        <w:rPr>
          <w:rFonts w:cs="Arial"/>
          <w:szCs w:val="22"/>
        </w:rPr>
        <w:t>“side effects . . . such as changes in</w:t>
      </w:r>
      <w:r w:rsidR="007A596C">
        <w:rPr>
          <w:rFonts w:cs="Arial"/>
          <w:szCs w:val="22"/>
        </w:rPr>
        <w:t xml:space="preserve"> stool frequency</w:t>
      </w:r>
      <w:r w:rsidR="00E139C2">
        <w:rPr>
          <w:rFonts w:cs="Arial"/>
          <w:szCs w:val="22"/>
        </w:rPr>
        <w:t xml:space="preserve"> or gastrointestinal complaints”</w:t>
      </w:r>
      <w:r w:rsidR="007A596C">
        <w:rPr>
          <w:rFonts w:cs="Arial"/>
          <w:szCs w:val="22"/>
        </w:rPr>
        <w:t xml:space="preserve">, we excluded this study as stool frequency is not listed as an outcome and the method of assessment was not stated. We assume that this result reflects participants’ voluntary reporting on adverse outcomes ad hoc and, therefore, this study was excluded from the assessment of laxative effect. </w:t>
      </w:r>
      <w:r>
        <w:rPr>
          <w:rFonts w:cs="Arial"/>
        </w:rPr>
        <w:t xml:space="preserve">The first step </w:t>
      </w:r>
      <w:r w:rsidR="003460A1">
        <w:rPr>
          <w:rFonts w:cs="Arial"/>
        </w:rPr>
        <w:t xml:space="preserve">involving categorisation of study outcomes </w:t>
      </w:r>
      <w:r>
        <w:rPr>
          <w:rFonts w:cs="Arial"/>
        </w:rPr>
        <w:t xml:space="preserve">demonstrated a </w:t>
      </w:r>
      <w:r w:rsidR="003460A1">
        <w:rPr>
          <w:rFonts w:cs="Arial"/>
        </w:rPr>
        <w:t>consistent</w:t>
      </w:r>
      <w:r>
        <w:rPr>
          <w:rFonts w:cs="Arial"/>
        </w:rPr>
        <w:t xml:space="preserve">, neutral </w:t>
      </w:r>
      <w:r w:rsidR="003460A1">
        <w:rPr>
          <w:rFonts w:cs="Arial"/>
        </w:rPr>
        <w:t xml:space="preserve">(i.e. no) </w:t>
      </w:r>
      <w:r>
        <w:rPr>
          <w:rFonts w:cs="Arial"/>
        </w:rPr>
        <w:t xml:space="preserve">effect of </w:t>
      </w:r>
      <w:r w:rsidR="00C92EF1">
        <w:rPr>
          <w:rFonts w:cs="Arial"/>
        </w:rPr>
        <w:t>GOS</w:t>
      </w:r>
      <w:r>
        <w:rPr>
          <w:rFonts w:cs="Arial"/>
        </w:rPr>
        <w:t xml:space="preserve"> intake on laxative outcomes and, therefore, the second step </w:t>
      </w:r>
      <w:r w:rsidR="003460A1">
        <w:rPr>
          <w:rFonts w:cs="Arial"/>
        </w:rPr>
        <w:t xml:space="preserve">of study appraisal </w:t>
      </w:r>
      <w:r>
        <w:rPr>
          <w:rFonts w:cs="Arial"/>
        </w:rPr>
        <w:t>was not undertaken.</w:t>
      </w:r>
      <w:r w:rsidR="007B0E1B">
        <w:rPr>
          <w:rFonts w:cs="Arial"/>
        </w:rPr>
        <w:t xml:space="preserve"> </w:t>
      </w:r>
      <w:r w:rsidR="007A596C">
        <w:rPr>
          <w:rFonts w:cs="Arial"/>
        </w:rPr>
        <w:t xml:space="preserve">Stool softening or </w:t>
      </w:r>
      <w:r w:rsidR="007A596C">
        <w:rPr>
          <w:rFonts w:cs="Arial"/>
          <w:szCs w:val="22"/>
        </w:rPr>
        <w:t>consistency, ease or straining during defecation, gastrointestinal comfort, flatulence, or similar qualitative or subjective outcomes have not been used as measures of laxation in the current assessment as they</w:t>
      </w:r>
      <w:r w:rsidR="00A648B2">
        <w:rPr>
          <w:rFonts w:cs="Arial"/>
          <w:szCs w:val="22"/>
        </w:rPr>
        <w:t xml:space="preserve"> could be attributed to factors other than laxation.</w:t>
      </w:r>
    </w:p>
    <w:p w14:paraId="62FC9928" w14:textId="6397A3A0" w:rsidR="00406245" w:rsidRDefault="00406245" w:rsidP="009B5F79">
      <w:pPr>
        <w:rPr>
          <w:rFonts w:cs="Arial"/>
        </w:rPr>
      </w:pPr>
    </w:p>
    <w:p w14:paraId="21BCEEB2" w14:textId="77777777" w:rsidR="007A596C" w:rsidRPr="000C70CF" w:rsidRDefault="007A596C" w:rsidP="007A596C">
      <w:pPr>
        <w:rPr>
          <w:lang w:bidi="ar-SA"/>
        </w:rPr>
      </w:pPr>
    </w:p>
    <w:p w14:paraId="41C4CF8C" w14:textId="79942EAE" w:rsidR="003D7003" w:rsidRDefault="00F73110" w:rsidP="0073104D">
      <w:pPr>
        <w:pStyle w:val="Heading2"/>
      </w:pPr>
      <w:bookmarkStart w:id="29" w:name="_Toc64561466"/>
      <w:bookmarkStart w:id="30" w:name="_Toc66868368"/>
      <w:r>
        <w:t>2.2.2</w:t>
      </w:r>
      <w:r w:rsidR="003D7003">
        <w:t xml:space="preserve"> Laxation: included</w:t>
      </w:r>
      <w:r w:rsidR="003D7003" w:rsidRPr="00B52107">
        <w:t xml:space="preserve"> studies</w:t>
      </w:r>
      <w:r w:rsidR="003D7003">
        <w:t>’ methodology and results</w:t>
      </w:r>
      <w:bookmarkEnd w:id="29"/>
      <w:bookmarkEnd w:id="30"/>
    </w:p>
    <w:p w14:paraId="3F1A124E" w14:textId="01CF8B3D" w:rsidR="0096694D" w:rsidRPr="004E01A6" w:rsidRDefault="00D15866" w:rsidP="0096694D">
      <w:pPr>
        <w:rPr>
          <w:rFonts w:cs="Arial"/>
          <w:highlight w:val="yellow"/>
        </w:rPr>
      </w:pPr>
      <w:r>
        <w:rPr>
          <w:lang w:bidi="ar-SA"/>
        </w:rPr>
        <w:t xml:space="preserve">Laxation was assessed using bowel movement or stool frequency, and intestinal transit time (see </w:t>
      </w:r>
      <w:r w:rsidR="0075189F">
        <w:rPr>
          <w:lang w:bidi="ar-SA"/>
        </w:rPr>
        <w:t>Appendix</w:t>
      </w:r>
      <w:r>
        <w:rPr>
          <w:lang w:bidi="ar-SA"/>
        </w:rPr>
        <w:t xml:space="preserve"> Section 2.2.1)</w:t>
      </w:r>
      <w:r w:rsidR="00606620">
        <w:rPr>
          <w:lang w:bidi="ar-SA"/>
        </w:rPr>
        <w:t>,</w:t>
      </w:r>
      <w:r>
        <w:rPr>
          <w:lang w:bidi="ar-SA"/>
        </w:rPr>
        <w:t xml:space="preserve"> and absolute and relative stool weight</w:t>
      </w:r>
      <w:r w:rsidR="00606620">
        <w:rPr>
          <w:lang w:bidi="ar-SA"/>
        </w:rPr>
        <w:t xml:space="preserve"> (</w:t>
      </w:r>
      <w:r w:rsidR="00AB2C04">
        <w:rPr>
          <w:lang w:bidi="ar-SA"/>
        </w:rPr>
        <w:t xml:space="preserve">see </w:t>
      </w:r>
      <w:r w:rsidR="00606620">
        <w:rPr>
          <w:lang w:bidi="ar-SA"/>
        </w:rPr>
        <w:t>below</w:t>
      </w:r>
      <w:r w:rsidR="00AB2C04">
        <w:rPr>
          <w:lang w:bidi="ar-SA"/>
        </w:rPr>
        <w:t xml:space="preserve"> and Section 1.2.2</w:t>
      </w:r>
      <w:r w:rsidR="00606620">
        <w:rPr>
          <w:lang w:bidi="ar-SA"/>
        </w:rPr>
        <w:t>)</w:t>
      </w:r>
      <w:r>
        <w:rPr>
          <w:lang w:bidi="ar-SA"/>
        </w:rPr>
        <w:t xml:space="preserve">. </w:t>
      </w:r>
      <w:r w:rsidR="003460A1">
        <w:rPr>
          <w:lang w:bidi="ar-SA"/>
        </w:rPr>
        <w:t>The ‘benchmark’ criteria</w:t>
      </w:r>
      <w:r>
        <w:rPr>
          <w:lang w:bidi="ar-SA"/>
        </w:rPr>
        <w:t xml:space="preserve"> we used for relative stool weight is </w:t>
      </w:r>
      <w:r w:rsidR="00606620">
        <w:rPr>
          <w:lang w:bidi="ar-SA"/>
        </w:rPr>
        <w:t xml:space="preserve">a </w:t>
      </w:r>
      <w:r>
        <w:rPr>
          <w:lang w:bidi="ar-SA"/>
        </w:rPr>
        <w:t xml:space="preserve">greater than 1 g and 5 g increase in faecal wet weight per gram of </w:t>
      </w:r>
      <w:r w:rsidR="00C92EF1">
        <w:rPr>
          <w:lang w:bidi="ar-SA"/>
        </w:rPr>
        <w:t>GOS</w:t>
      </w:r>
      <w:r>
        <w:rPr>
          <w:lang w:bidi="ar-SA"/>
        </w:rPr>
        <w:t xml:space="preserve"> consumed (see Section 1.2.1). </w:t>
      </w:r>
      <w:r w:rsidR="0096694D">
        <w:rPr>
          <w:lang w:bidi="ar-SA"/>
        </w:rPr>
        <w:t>A detailed review of the three studies that</w:t>
      </w:r>
      <w:r>
        <w:rPr>
          <w:lang w:bidi="ar-SA"/>
        </w:rPr>
        <w:t xml:space="preserve"> </w:t>
      </w:r>
      <w:r w:rsidR="001B70AF">
        <w:rPr>
          <w:lang w:bidi="ar-SA"/>
        </w:rPr>
        <w:t>reported faecal output from a collection period of at least 24 hours, permitting an assessment of</w:t>
      </w:r>
      <w:r>
        <w:rPr>
          <w:lang w:bidi="ar-SA"/>
        </w:rPr>
        <w:t xml:space="preserve"> absolute and relative stool weight,</w:t>
      </w:r>
      <w:r w:rsidR="0096694D">
        <w:rPr>
          <w:lang w:bidi="ar-SA"/>
        </w:rPr>
        <w:t xml:space="preserve"> is provided below and in Table </w:t>
      </w:r>
      <w:r w:rsidR="004C293F">
        <w:rPr>
          <w:lang w:bidi="ar-SA"/>
        </w:rPr>
        <w:t>7 (</w:t>
      </w:r>
      <w:r w:rsidR="004C293F">
        <w:rPr>
          <w:rFonts w:cs="Arial"/>
          <w:szCs w:val="22"/>
        </w:rPr>
        <w:t>Appendix Section 2.5)</w:t>
      </w:r>
      <w:r w:rsidR="0096694D">
        <w:rPr>
          <w:lang w:bidi="ar-SA"/>
        </w:rPr>
        <w:t>.</w:t>
      </w:r>
    </w:p>
    <w:p w14:paraId="09950C46" w14:textId="53F49527" w:rsidR="00EE6D4C" w:rsidRDefault="00EE6D4C" w:rsidP="00EE6D4C">
      <w:pPr>
        <w:rPr>
          <w:lang w:bidi="ar-SA"/>
        </w:rPr>
      </w:pPr>
    </w:p>
    <w:p w14:paraId="75F77548" w14:textId="74456315" w:rsidR="00234082" w:rsidRDefault="0096694D" w:rsidP="00234082">
      <w:pPr>
        <w:rPr>
          <w:rFonts w:cs="Arial"/>
        </w:rPr>
      </w:pPr>
      <w:r>
        <w:rPr>
          <w:rFonts w:cs="Arial"/>
        </w:rPr>
        <w:t xml:space="preserve">Ito et al. (1990) recruited </w:t>
      </w:r>
      <w:r w:rsidR="000D6153">
        <w:rPr>
          <w:rFonts w:cs="Arial"/>
        </w:rPr>
        <w:t>“</w:t>
      </w:r>
      <w:r>
        <w:rPr>
          <w:rFonts w:cs="Arial"/>
        </w:rPr>
        <w:t>healthy</w:t>
      </w:r>
      <w:r w:rsidR="000D6153">
        <w:rPr>
          <w:rFonts w:cs="Arial"/>
        </w:rPr>
        <w:t>”</w:t>
      </w:r>
      <w:r>
        <w:rPr>
          <w:rFonts w:cs="Arial"/>
        </w:rPr>
        <w:t xml:space="preserve"> males, </w:t>
      </w:r>
      <w:r w:rsidR="00FB279B">
        <w:rPr>
          <w:rFonts w:cs="Arial"/>
        </w:rPr>
        <w:t xml:space="preserve">who did not receive medication within </w:t>
      </w:r>
      <w:r w:rsidR="00606620">
        <w:rPr>
          <w:rFonts w:cs="Arial"/>
        </w:rPr>
        <w:t>two</w:t>
      </w:r>
      <w:r w:rsidR="00FB279B">
        <w:rPr>
          <w:rFonts w:cs="Arial"/>
        </w:rPr>
        <w:t xml:space="preserve"> weeks before or during the study period, </w:t>
      </w:r>
      <w:r>
        <w:rPr>
          <w:rFonts w:cs="Arial"/>
        </w:rPr>
        <w:t xml:space="preserve">aged 26 to 48 years (n=12) to explore the laxative effect of </w:t>
      </w:r>
      <w:r w:rsidR="00C92EF1">
        <w:rPr>
          <w:rFonts w:cs="Arial"/>
        </w:rPr>
        <w:t>GOS</w:t>
      </w:r>
      <w:r>
        <w:rPr>
          <w:rFonts w:cs="Arial"/>
        </w:rPr>
        <w:t xml:space="preserve"> intake </w:t>
      </w:r>
      <w:r w:rsidRPr="00FF5C83">
        <w:rPr>
          <w:rFonts w:cs="Arial"/>
        </w:rPr>
        <w:t xml:space="preserve">in a </w:t>
      </w:r>
      <w:r>
        <w:rPr>
          <w:rFonts w:cs="Arial"/>
        </w:rPr>
        <w:t xml:space="preserve">Latin square, </w:t>
      </w:r>
      <w:r w:rsidRPr="007E58D9">
        <w:rPr>
          <w:rFonts w:cs="Arial"/>
        </w:rPr>
        <w:t>single-blind</w:t>
      </w:r>
      <w:r>
        <w:rPr>
          <w:rFonts w:cs="Arial"/>
        </w:rPr>
        <w:t>ed</w:t>
      </w:r>
      <w:r w:rsidRPr="007E58D9">
        <w:rPr>
          <w:rFonts w:cs="Arial"/>
        </w:rPr>
        <w:t xml:space="preserve"> (participants)</w:t>
      </w:r>
      <w:r>
        <w:rPr>
          <w:rFonts w:cs="Arial"/>
        </w:rPr>
        <w:t>,</w:t>
      </w:r>
      <w:r w:rsidR="00463EBD">
        <w:rPr>
          <w:rFonts w:cs="Arial"/>
        </w:rPr>
        <w:t xml:space="preserve"> cross</w:t>
      </w:r>
      <w:r w:rsidRPr="007E58D9">
        <w:rPr>
          <w:rFonts w:cs="Arial"/>
        </w:rPr>
        <w:t>over study.</w:t>
      </w:r>
      <w:r>
        <w:rPr>
          <w:rFonts w:cs="Arial"/>
        </w:rPr>
        <w:t xml:space="preserve"> Four 7-day conditions we</w:t>
      </w:r>
      <w:r w:rsidR="003124E5">
        <w:rPr>
          <w:rFonts w:cs="Arial"/>
        </w:rPr>
        <w:t>re tested: placebo and three intak</w:t>
      </w:r>
      <w:r>
        <w:rPr>
          <w:rFonts w:cs="Arial"/>
        </w:rPr>
        <w:t xml:space="preserve">e levels of </w:t>
      </w:r>
      <w:r w:rsidR="00C92EF1">
        <w:rPr>
          <w:rFonts w:cs="Arial"/>
        </w:rPr>
        <w:t>GOS</w:t>
      </w:r>
      <w:r>
        <w:rPr>
          <w:rFonts w:cs="Arial"/>
        </w:rPr>
        <w:t xml:space="preserve">. The washout period varied depending on treatment order and was a minimum of seven days. Randomisation for, or method of allocation to, treatment order is not mentioned; we contacted the </w:t>
      </w:r>
      <w:r w:rsidR="0049308F">
        <w:rPr>
          <w:rFonts w:cs="Arial"/>
        </w:rPr>
        <w:t>corresponding</w:t>
      </w:r>
      <w:r>
        <w:rPr>
          <w:rFonts w:cs="Arial"/>
        </w:rPr>
        <w:t xml:space="preserve"> author to seek clarification, but received no response. Participants’ diet</w:t>
      </w:r>
      <w:r w:rsidR="00606620">
        <w:rPr>
          <w:rFonts w:cs="Arial"/>
        </w:rPr>
        <w:t xml:space="preserve"> was</w:t>
      </w:r>
      <w:r>
        <w:rPr>
          <w:rFonts w:cs="Arial"/>
        </w:rPr>
        <w:t xml:space="preserve"> not controlled, except for three restrictions: no extra lactose; no milk; and, no fermentation products. Dietary intake</w:t>
      </w:r>
      <w:r w:rsidR="009F61ED">
        <w:rPr>
          <w:rFonts w:cs="Arial"/>
        </w:rPr>
        <w:t xml:space="preserve"> (including fluid intake)</w:t>
      </w:r>
      <w:r>
        <w:rPr>
          <w:rFonts w:cs="Arial"/>
        </w:rPr>
        <w:t xml:space="preserve"> was not assessed. During the four 7-day</w:t>
      </w:r>
      <w:r w:rsidR="00922B21">
        <w:rPr>
          <w:rFonts w:cs="Arial"/>
        </w:rPr>
        <w:t xml:space="preserve"> conditions, participants</w:t>
      </w:r>
      <w:r>
        <w:rPr>
          <w:rFonts w:cs="Arial"/>
        </w:rPr>
        <w:t xml:space="preserve"> were provided an oral dose of Oligomate-50, consumed onc</w:t>
      </w:r>
      <w:r w:rsidR="003124E5">
        <w:rPr>
          <w:rFonts w:cs="Arial"/>
        </w:rPr>
        <w:t>e per day after lunch. Four intake</w:t>
      </w:r>
      <w:r>
        <w:rPr>
          <w:rFonts w:cs="Arial"/>
        </w:rPr>
        <w:t xml:space="preserve"> levels of Oligomate-50 </w:t>
      </w:r>
      <w:r w:rsidRPr="0052016D">
        <w:rPr>
          <w:rFonts w:cs="Arial"/>
        </w:rPr>
        <w:t>were used (0.0, 4.8, 9.6 or 19.2 g</w:t>
      </w:r>
      <w:r>
        <w:rPr>
          <w:rFonts w:cs="Arial"/>
        </w:rPr>
        <w:t>/day</w:t>
      </w:r>
      <w:r w:rsidRPr="0052016D">
        <w:rPr>
          <w:rFonts w:cs="Arial"/>
        </w:rPr>
        <w:t xml:space="preserve">) which </w:t>
      </w:r>
      <w:r>
        <w:rPr>
          <w:rFonts w:cs="Arial"/>
        </w:rPr>
        <w:t>provide</w:t>
      </w:r>
      <w:r w:rsidRPr="0052016D">
        <w:rPr>
          <w:rFonts w:cs="Arial"/>
        </w:rPr>
        <w:t>d 0.0, 2.5, 5.0, or 10.0 g</w:t>
      </w:r>
      <w:r>
        <w:rPr>
          <w:rFonts w:cs="Arial"/>
        </w:rPr>
        <w:t>/day</w:t>
      </w:r>
      <w:r w:rsidRPr="0052016D">
        <w:rPr>
          <w:rFonts w:cs="Arial"/>
        </w:rPr>
        <w:t xml:space="preserve"> of </w:t>
      </w:r>
      <w:r w:rsidR="00C92EF1">
        <w:rPr>
          <w:rFonts w:cs="Arial"/>
        </w:rPr>
        <w:t>GOS</w:t>
      </w:r>
      <w:r w:rsidRPr="0052016D">
        <w:rPr>
          <w:rFonts w:cs="Arial"/>
        </w:rPr>
        <w:t>, respectively</w:t>
      </w:r>
      <w:r w:rsidR="00426AA7">
        <w:rPr>
          <w:rFonts w:cs="Arial"/>
        </w:rPr>
        <w:t xml:space="preserve"> (</w:t>
      </w:r>
      <w:r w:rsidR="00426AA7" w:rsidRPr="0052016D">
        <w:rPr>
          <w:rFonts w:cs="Arial"/>
        </w:rPr>
        <w:t>for consumption instructions, structure and form</w:t>
      </w:r>
      <w:r w:rsidR="004C293F">
        <w:rPr>
          <w:rFonts w:cs="Arial"/>
        </w:rPr>
        <w:t xml:space="preserve">, see </w:t>
      </w:r>
      <w:r w:rsidR="004C293F">
        <w:rPr>
          <w:rFonts w:cs="Arial"/>
          <w:szCs w:val="22"/>
        </w:rPr>
        <w:t>Table 7, Appendix Section 2.5</w:t>
      </w:r>
      <w:r w:rsidR="00426AA7" w:rsidRPr="0052016D">
        <w:rPr>
          <w:rFonts w:cs="Arial"/>
        </w:rPr>
        <w:t>)</w:t>
      </w:r>
      <w:r w:rsidRPr="0052016D">
        <w:rPr>
          <w:rFonts w:cs="Arial"/>
        </w:rPr>
        <w:t>. The authors report that bowel habits were normal at the start of the study. Stool weight reflects the mean daily wet weight</w:t>
      </w:r>
      <w:r w:rsidR="00374E74">
        <w:rPr>
          <w:rFonts w:cs="Arial"/>
        </w:rPr>
        <w:t xml:space="preserve"> at intervention </w:t>
      </w:r>
      <w:r w:rsidR="007F0E9F">
        <w:rPr>
          <w:rFonts w:cs="Arial"/>
        </w:rPr>
        <w:t>follow-up</w:t>
      </w:r>
      <w:r w:rsidR="00374E74">
        <w:rPr>
          <w:rFonts w:cs="Arial"/>
        </w:rPr>
        <w:t xml:space="preserve"> only</w:t>
      </w:r>
      <w:r w:rsidRPr="0052016D">
        <w:rPr>
          <w:rFonts w:cs="Arial"/>
        </w:rPr>
        <w:t xml:space="preserve">, using stools collected on days </w:t>
      </w:r>
      <w:r>
        <w:rPr>
          <w:rFonts w:cs="Arial"/>
        </w:rPr>
        <w:t>5 to 7 of each experimental condition. Stool weight was not st</w:t>
      </w:r>
      <w:r w:rsidR="004A3479">
        <w:rPr>
          <w:rFonts w:cs="Arial"/>
        </w:rPr>
        <w:t>atistically different at any intak</w:t>
      </w:r>
      <w:r>
        <w:rPr>
          <w:rFonts w:cs="Arial"/>
        </w:rPr>
        <w:t>e level: 151 ± 63.6</w:t>
      </w:r>
      <w:r w:rsidR="008D0CCF">
        <w:rPr>
          <w:rFonts w:cs="Arial"/>
        </w:rPr>
        <w:t>;</w:t>
      </w:r>
      <w:r>
        <w:rPr>
          <w:rFonts w:cs="Arial"/>
        </w:rPr>
        <w:t xml:space="preserve"> 134 ± 49.6</w:t>
      </w:r>
      <w:r w:rsidR="008D0CCF">
        <w:rPr>
          <w:rFonts w:cs="Arial"/>
        </w:rPr>
        <w:t>;</w:t>
      </w:r>
      <w:r>
        <w:rPr>
          <w:rFonts w:cs="Arial"/>
        </w:rPr>
        <w:t xml:space="preserve"> 151 ± </w:t>
      </w:r>
      <w:r w:rsidRPr="00C81383">
        <w:rPr>
          <w:rFonts w:cs="Arial"/>
          <w:szCs w:val="22"/>
        </w:rPr>
        <w:t>77.1</w:t>
      </w:r>
      <w:r w:rsidR="008D0CCF">
        <w:rPr>
          <w:rFonts w:cs="Arial"/>
          <w:szCs w:val="22"/>
        </w:rPr>
        <w:t>;</w:t>
      </w:r>
      <w:r w:rsidRPr="00C81383">
        <w:rPr>
          <w:rFonts w:cs="Arial"/>
          <w:szCs w:val="22"/>
        </w:rPr>
        <w:t xml:space="preserve"> and</w:t>
      </w:r>
      <w:r w:rsidR="008D0CCF">
        <w:rPr>
          <w:rFonts w:cs="Arial"/>
          <w:szCs w:val="22"/>
        </w:rPr>
        <w:t>,</w:t>
      </w:r>
      <w:r w:rsidRPr="00C81383">
        <w:rPr>
          <w:rFonts w:cs="Arial"/>
          <w:szCs w:val="22"/>
        </w:rPr>
        <w:t xml:space="preserve"> 16</w:t>
      </w:r>
      <w:r w:rsidR="00B53F5C">
        <w:rPr>
          <w:rFonts w:cs="Arial"/>
          <w:szCs w:val="22"/>
        </w:rPr>
        <w:t>3</w:t>
      </w:r>
      <w:r w:rsidRPr="00C81383">
        <w:rPr>
          <w:rFonts w:cs="Arial"/>
          <w:szCs w:val="22"/>
        </w:rPr>
        <w:t xml:space="preserve"> ± 71.</w:t>
      </w:r>
      <w:r w:rsidRPr="008D0CCF">
        <w:rPr>
          <w:rFonts w:cs="Arial"/>
          <w:szCs w:val="22"/>
        </w:rPr>
        <w:t>4 g/day (mean ± SD; for t</w:t>
      </w:r>
      <w:r w:rsidR="004A3479">
        <w:rPr>
          <w:rFonts w:cs="Arial"/>
          <w:szCs w:val="22"/>
        </w:rPr>
        <w:t xml:space="preserve">he </w:t>
      </w:r>
      <w:r w:rsidR="00C92EF1">
        <w:rPr>
          <w:rFonts w:cs="Arial"/>
          <w:szCs w:val="22"/>
        </w:rPr>
        <w:t>GOS</w:t>
      </w:r>
      <w:r w:rsidR="004A3479">
        <w:rPr>
          <w:rFonts w:cs="Arial"/>
          <w:szCs w:val="22"/>
        </w:rPr>
        <w:t xml:space="preserve"> intake</w:t>
      </w:r>
      <w:r w:rsidRPr="008D0CCF">
        <w:rPr>
          <w:rFonts w:cs="Arial"/>
          <w:szCs w:val="22"/>
        </w:rPr>
        <w:t>s, 0, 2.5, 5.0, or 10.0 g/day, respectively</w:t>
      </w:r>
      <w:r w:rsidR="008D0CCF" w:rsidRPr="008D0CCF">
        <w:rPr>
          <w:rFonts w:cs="Arial"/>
          <w:szCs w:val="22"/>
        </w:rPr>
        <w:t xml:space="preserve">, </w:t>
      </w:r>
      <w:r w:rsidR="008D0CCF" w:rsidRPr="008D0CCF">
        <w:rPr>
          <w:rFonts w:cs="Arial"/>
        </w:rPr>
        <w:t>relative to the placebo condition</w:t>
      </w:r>
      <w:r w:rsidRPr="008D0CCF">
        <w:rPr>
          <w:rFonts w:cs="Arial"/>
          <w:szCs w:val="22"/>
        </w:rPr>
        <w:t>). The au</w:t>
      </w:r>
      <w:r w:rsidRPr="00C81383">
        <w:rPr>
          <w:rFonts w:cs="Arial"/>
          <w:szCs w:val="22"/>
        </w:rPr>
        <w:t xml:space="preserve">thors </w:t>
      </w:r>
      <w:r w:rsidR="00614772">
        <w:rPr>
          <w:rFonts w:cs="Arial"/>
          <w:szCs w:val="22"/>
        </w:rPr>
        <w:t>did</w:t>
      </w:r>
      <w:r w:rsidR="00614772" w:rsidRPr="00C81383">
        <w:rPr>
          <w:rFonts w:cs="Arial"/>
          <w:szCs w:val="22"/>
        </w:rPr>
        <w:t xml:space="preserve"> </w:t>
      </w:r>
      <w:r w:rsidRPr="00C81383">
        <w:rPr>
          <w:rFonts w:cs="Arial"/>
          <w:szCs w:val="22"/>
        </w:rPr>
        <w:t>not provide e</w:t>
      </w:r>
      <w:r w:rsidRPr="00C81383">
        <w:rPr>
          <w:szCs w:val="22"/>
        </w:rPr>
        <w:t xml:space="preserve">xact </w:t>
      </w:r>
      <w:r w:rsidRPr="00C81383">
        <w:rPr>
          <w:i/>
          <w:szCs w:val="22"/>
        </w:rPr>
        <w:t xml:space="preserve">P </w:t>
      </w:r>
      <w:r w:rsidRPr="00C81383">
        <w:rPr>
          <w:szCs w:val="22"/>
        </w:rPr>
        <w:t xml:space="preserve">values </w:t>
      </w:r>
      <w:r>
        <w:rPr>
          <w:szCs w:val="22"/>
        </w:rPr>
        <w:t xml:space="preserve">for </w:t>
      </w:r>
      <w:r>
        <w:rPr>
          <w:szCs w:val="22"/>
        </w:rPr>
        <w:lastRenderedPageBreak/>
        <w:t>these comparisons</w:t>
      </w:r>
      <w:r w:rsidRPr="00C81383">
        <w:rPr>
          <w:szCs w:val="22"/>
        </w:rPr>
        <w:t xml:space="preserve">. </w:t>
      </w:r>
      <w:r w:rsidRPr="00C81383">
        <w:rPr>
          <w:rFonts w:cs="Arial"/>
          <w:szCs w:val="22"/>
        </w:rPr>
        <w:t>We</w:t>
      </w:r>
      <w:r>
        <w:rPr>
          <w:rFonts w:cs="Arial"/>
        </w:rPr>
        <w:t xml:space="preserve"> converted their findings to</w:t>
      </w:r>
      <w:r w:rsidR="00B277AF">
        <w:rPr>
          <w:rFonts w:cs="Arial"/>
        </w:rPr>
        <w:t xml:space="preserve"> the mean</w:t>
      </w:r>
      <w:r>
        <w:rPr>
          <w:rFonts w:cs="Arial"/>
        </w:rPr>
        <w:t xml:space="preserve"> </w:t>
      </w:r>
      <w:r w:rsidR="00B277AF">
        <w:rPr>
          <w:rFonts w:cs="Arial"/>
        </w:rPr>
        <w:t>differenc</w:t>
      </w:r>
      <w:r>
        <w:rPr>
          <w:rFonts w:cs="Arial"/>
        </w:rPr>
        <w:t>e</w:t>
      </w:r>
      <w:r w:rsidR="00B277AF">
        <w:rPr>
          <w:rFonts w:cs="Arial"/>
        </w:rPr>
        <w:t>s</w:t>
      </w:r>
      <w:r>
        <w:rPr>
          <w:rFonts w:cs="Arial"/>
        </w:rPr>
        <w:t xml:space="preserve"> </w:t>
      </w:r>
      <w:r w:rsidR="00B277AF">
        <w:rPr>
          <w:rFonts w:cs="Arial"/>
        </w:rPr>
        <w:t>in</w:t>
      </w:r>
      <w:r>
        <w:rPr>
          <w:rFonts w:cs="Arial"/>
        </w:rPr>
        <w:t xml:space="preserve"> </w:t>
      </w:r>
      <w:r w:rsidR="00B277AF">
        <w:rPr>
          <w:rFonts w:cs="Arial"/>
        </w:rPr>
        <w:t xml:space="preserve">absolute </w:t>
      </w:r>
      <w:r>
        <w:rPr>
          <w:rFonts w:cs="Arial"/>
        </w:rPr>
        <w:t>stool weight</w:t>
      </w:r>
      <w:r w:rsidR="00B277AF">
        <w:rPr>
          <w:rFonts w:cs="Arial"/>
        </w:rPr>
        <w:t xml:space="preserve"> (see Table </w:t>
      </w:r>
      <w:r w:rsidR="00A65AE0">
        <w:rPr>
          <w:rFonts w:cs="Arial"/>
        </w:rPr>
        <w:t>2</w:t>
      </w:r>
      <w:r w:rsidR="00B277AF">
        <w:rPr>
          <w:rFonts w:cs="Arial"/>
        </w:rPr>
        <w:t>) and relative stool weight</w:t>
      </w:r>
      <w:r>
        <w:rPr>
          <w:rFonts w:cs="Arial"/>
        </w:rPr>
        <w:t xml:space="preserve"> (-6.72, 0.00, and 1.13 g/day per gram of </w:t>
      </w:r>
      <w:r w:rsidR="00C92EF1">
        <w:rPr>
          <w:rFonts w:cs="Arial"/>
        </w:rPr>
        <w:t>GOS</w:t>
      </w:r>
      <w:r w:rsidR="00B277AF">
        <w:rPr>
          <w:rFonts w:cs="Arial"/>
        </w:rPr>
        <w:t xml:space="preserve"> for the </w:t>
      </w:r>
      <w:r>
        <w:rPr>
          <w:rFonts w:cs="Arial"/>
        </w:rPr>
        <w:t xml:space="preserve">2.5, 5.0, or 10.0 g </w:t>
      </w:r>
      <w:r w:rsidR="00C92EF1">
        <w:rPr>
          <w:rFonts w:cs="Arial"/>
        </w:rPr>
        <w:t>GOS</w:t>
      </w:r>
      <w:r>
        <w:rPr>
          <w:rFonts w:cs="Arial"/>
        </w:rPr>
        <w:t>/day</w:t>
      </w:r>
      <w:r w:rsidR="00B277AF">
        <w:rPr>
          <w:rFonts w:cs="Arial"/>
        </w:rPr>
        <w:t xml:space="preserve"> condition</w:t>
      </w:r>
      <w:r>
        <w:rPr>
          <w:rFonts w:cs="Arial"/>
        </w:rPr>
        <w:t>, respectively</w:t>
      </w:r>
      <w:r w:rsidR="00B277AF">
        <w:rPr>
          <w:rFonts w:cs="Arial"/>
        </w:rPr>
        <w:t>).</w:t>
      </w:r>
      <w:r>
        <w:rPr>
          <w:rFonts w:cs="Arial"/>
        </w:rPr>
        <w:t xml:space="preserve"> </w:t>
      </w:r>
      <w:r w:rsidR="00234082" w:rsidRPr="00BF1EA9">
        <w:rPr>
          <w:rFonts w:cs="Arial"/>
          <w:szCs w:val="22"/>
        </w:rPr>
        <w:t>The largest difference was a</w:t>
      </w:r>
      <w:r w:rsidR="00234082">
        <w:rPr>
          <w:rFonts w:cs="Arial"/>
          <w:szCs w:val="22"/>
        </w:rPr>
        <w:t xml:space="preserve"> lower relative stool weight,</w:t>
      </w:r>
      <w:r w:rsidR="00234082" w:rsidRPr="00BF1EA9">
        <w:rPr>
          <w:rFonts w:cs="Arial"/>
          <w:szCs w:val="22"/>
        </w:rPr>
        <w:t xml:space="preserve"> </w:t>
      </w:r>
      <w:r w:rsidR="00234082" w:rsidRPr="00BF1EA9">
        <w:rPr>
          <w:szCs w:val="22"/>
        </w:rPr>
        <w:t xml:space="preserve">-6.7 g </w:t>
      </w:r>
      <w:r w:rsidR="00234082" w:rsidRPr="00BF1EA9">
        <w:rPr>
          <w:rFonts w:cs="Arial"/>
          <w:szCs w:val="22"/>
        </w:rPr>
        <w:t>± 5.3 g (</w:t>
      </w:r>
      <w:r w:rsidR="00234082" w:rsidRPr="00BF1EA9">
        <w:rPr>
          <w:szCs w:val="22"/>
        </w:rPr>
        <w:t xml:space="preserve">mean </w:t>
      </w:r>
      <w:r w:rsidR="00234082" w:rsidRPr="00BF1EA9">
        <w:rPr>
          <w:rFonts w:cs="Arial"/>
          <w:szCs w:val="22"/>
        </w:rPr>
        <w:t>± SE)</w:t>
      </w:r>
      <w:r w:rsidR="00234082">
        <w:rPr>
          <w:rFonts w:cs="Arial"/>
          <w:szCs w:val="22"/>
        </w:rPr>
        <w:t xml:space="preserve"> </w:t>
      </w:r>
      <w:r w:rsidR="00234082">
        <w:rPr>
          <w:rFonts w:cs="Arial"/>
        </w:rPr>
        <w:t xml:space="preserve">indicating </w:t>
      </w:r>
      <w:r w:rsidR="00C92EF1">
        <w:rPr>
          <w:rFonts w:cs="Arial"/>
        </w:rPr>
        <w:t>GOS</w:t>
      </w:r>
      <w:r w:rsidR="00234082">
        <w:rPr>
          <w:rFonts w:cs="Arial"/>
        </w:rPr>
        <w:t xml:space="preserve"> intake may promote constipation</w:t>
      </w:r>
      <w:r w:rsidR="00234082" w:rsidRPr="00BF1EA9">
        <w:rPr>
          <w:rFonts w:cs="Arial"/>
          <w:szCs w:val="22"/>
        </w:rPr>
        <w:t>.</w:t>
      </w:r>
      <w:r w:rsidR="00234082">
        <w:rPr>
          <w:rFonts w:cs="Arial"/>
          <w:szCs w:val="22"/>
        </w:rPr>
        <w:t xml:space="preserve"> </w:t>
      </w:r>
      <w:r w:rsidR="00234082" w:rsidRPr="00BF1EA9">
        <w:rPr>
          <w:rFonts w:cs="Arial"/>
          <w:szCs w:val="22"/>
        </w:rPr>
        <w:t>When</w:t>
      </w:r>
      <w:r w:rsidR="00234082">
        <w:rPr>
          <w:rFonts w:cs="Arial"/>
          <w:szCs w:val="22"/>
        </w:rPr>
        <w:t xml:space="preserve"> compared to</w:t>
      </w:r>
      <w:r w:rsidR="00234082" w:rsidRPr="00F742B7">
        <w:rPr>
          <w:rFonts w:cs="Arial"/>
        </w:rPr>
        <w:t xml:space="preserve"> </w:t>
      </w:r>
      <w:r w:rsidR="00234082">
        <w:rPr>
          <w:rFonts w:cs="Arial"/>
        </w:rPr>
        <w:t>a</w:t>
      </w:r>
      <w:r w:rsidR="00234082" w:rsidRPr="009F4F79">
        <w:rPr>
          <w:rFonts w:cs="Arial"/>
        </w:rPr>
        <w:t xml:space="preserve"> proxy for a laxative effect</w:t>
      </w:r>
      <w:r w:rsidR="00234082">
        <w:rPr>
          <w:rFonts w:cs="Arial"/>
        </w:rPr>
        <w:t>,</w:t>
      </w:r>
      <w:r w:rsidR="00234082">
        <w:rPr>
          <w:rFonts w:cs="Arial"/>
          <w:szCs w:val="22"/>
        </w:rPr>
        <w:t xml:space="preserve"> a benchmark of greater than</w:t>
      </w:r>
      <w:r w:rsidR="00234082">
        <w:rPr>
          <w:rFonts w:cs="Arial"/>
        </w:rPr>
        <w:t xml:space="preserve"> </w:t>
      </w:r>
      <w:r w:rsidR="00234082" w:rsidRPr="009F4F79">
        <w:rPr>
          <w:rFonts w:cs="Arial"/>
        </w:rPr>
        <w:t>5 g</w:t>
      </w:r>
      <w:r w:rsidR="00234082">
        <w:rPr>
          <w:rFonts w:cs="Arial"/>
        </w:rPr>
        <w:t xml:space="preserve"> increase in faecal wet weight per gram of test fibre consumed,</w:t>
      </w:r>
      <w:r w:rsidR="00234082" w:rsidRPr="009F4F79">
        <w:rPr>
          <w:rFonts w:cs="Arial"/>
        </w:rPr>
        <w:t xml:space="preserve"> the mean differences in relative stool weight indicate a worsened laxation (one from </w:t>
      </w:r>
      <w:r w:rsidR="00234082">
        <w:rPr>
          <w:rFonts w:cs="Arial"/>
        </w:rPr>
        <w:t>three</w:t>
      </w:r>
      <w:r w:rsidR="00234082" w:rsidRPr="009F4F79">
        <w:rPr>
          <w:rFonts w:cs="Arial"/>
        </w:rPr>
        <w:t xml:space="preserve"> comparisons),</w:t>
      </w:r>
      <w:r w:rsidR="00234082">
        <w:rPr>
          <w:rFonts w:cs="Arial"/>
        </w:rPr>
        <w:t xml:space="preserve"> and</w:t>
      </w:r>
      <w:r w:rsidR="00234082" w:rsidRPr="009F4F79">
        <w:rPr>
          <w:rFonts w:cs="Arial"/>
        </w:rPr>
        <w:t xml:space="preserve"> no effect on laxation (</w:t>
      </w:r>
      <w:r w:rsidR="00234082">
        <w:rPr>
          <w:rFonts w:cs="Arial"/>
        </w:rPr>
        <w:t xml:space="preserve">two from three). </w:t>
      </w:r>
      <w:r w:rsidR="00234082" w:rsidRPr="009F4F79">
        <w:rPr>
          <w:rFonts w:cs="Arial"/>
        </w:rPr>
        <w:t xml:space="preserve">When using a &gt;1 g/g benchmark, the mean differences in relative stool weight indicate a worsened laxation (one from </w:t>
      </w:r>
      <w:r w:rsidR="00234082">
        <w:rPr>
          <w:rFonts w:cs="Arial"/>
        </w:rPr>
        <w:t>three</w:t>
      </w:r>
      <w:r w:rsidR="00234082" w:rsidRPr="009F4F79">
        <w:rPr>
          <w:rFonts w:cs="Arial"/>
        </w:rPr>
        <w:t xml:space="preserve"> comparisons), no effect on laxation (</w:t>
      </w:r>
      <w:r w:rsidR="00234082">
        <w:rPr>
          <w:rFonts w:cs="Arial"/>
        </w:rPr>
        <w:t>one from three</w:t>
      </w:r>
      <w:r w:rsidR="00234082" w:rsidRPr="009F4F79">
        <w:rPr>
          <w:rFonts w:cs="Arial"/>
        </w:rPr>
        <w:t>)</w:t>
      </w:r>
      <w:r w:rsidR="00234082">
        <w:rPr>
          <w:rFonts w:cs="Arial"/>
        </w:rPr>
        <w:t xml:space="preserve">, and a promotion of laxation when using the point estimate of the mean difference but not when the variance is considered (one from three). Wide variances of </w:t>
      </w:r>
      <w:r w:rsidR="00234082" w:rsidRPr="009F4F79">
        <w:rPr>
          <w:rFonts w:cs="Arial"/>
        </w:rPr>
        <w:t>relative stool weight</w:t>
      </w:r>
      <w:r w:rsidR="00234082">
        <w:rPr>
          <w:rFonts w:cs="Arial"/>
        </w:rPr>
        <w:t xml:space="preserve"> are discussed in Section 1.2.2. </w:t>
      </w:r>
      <w:r w:rsidR="00234082" w:rsidRPr="00C87F67">
        <w:rPr>
          <w:szCs w:val="22"/>
          <w:lang w:bidi="ar-SA"/>
        </w:rPr>
        <w:t xml:space="preserve">In this sample of </w:t>
      </w:r>
      <w:r w:rsidR="00234082">
        <w:rPr>
          <w:szCs w:val="22"/>
          <w:lang w:bidi="ar-SA"/>
        </w:rPr>
        <w:t xml:space="preserve">healthy </w:t>
      </w:r>
      <w:r w:rsidR="00234082" w:rsidRPr="00C87F67">
        <w:rPr>
          <w:szCs w:val="22"/>
          <w:lang w:bidi="ar-SA"/>
        </w:rPr>
        <w:t>males</w:t>
      </w:r>
      <w:r w:rsidR="00234082">
        <w:rPr>
          <w:szCs w:val="22"/>
          <w:lang w:bidi="ar-SA"/>
        </w:rPr>
        <w:t>,</w:t>
      </w:r>
      <w:r w:rsidR="00234082" w:rsidRPr="00C87F67">
        <w:rPr>
          <w:szCs w:val="22"/>
          <w:lang w:bidi="ar-SA"/>
        </w:rPr>
        <w:t xml:space="preserve"> </w:t>
      </w:r>
      <w:r w:rsidR="00234082">
        <w:rPr>
          <w:szCs w:val="22"/>
          <w:lang w:bidi="ar-SA"/>
        </w:rPr>
        <w:t>a</w:t>
      </w:r>
      <w:r w:rsidR="00234082">
        <w:rPr>
          <w:rFonts w:cs="Arial"/>
        </w:rPr>
        <w:t xml:space="preserve">n inconsistent effect on laxation </w:t>
      </w:r>
      <w:r w:rsidR="0003223C">
        <w:rPr>
          <w:rFonts w:cs="Arial"/>
        </w:rPr>
        <w:t>wa</w:t>
      </w:r>
      <w:r w:rsidR="00234082">
        <w:rPr>
          <w:rFonts w:cs="Arial"/>
        </w:rPr>
        <w:t xml:space="preserve">s demonstrated, when consuming </w:t>
      </w:r>
      <w:r w:rsidR="00C92EF1">
        <w:rPr>
          <w:rFonts w:cs="Arial"/>
        </w:rPr>
        <w:t>GOS</w:t>
      </w:r>
      <w:r w:rsidR="004A3479">
        <w:rPr>
          <w:rFonts w:cs="Arial"/>
        </w:rPr>
        <w:t xml:space="preserve"> at three intak</w:t>
      </w:r>
      <w:r w:rsidR="00234082">
        <w:rPr>
          <w:rFonts w:cs="Arial"/>
        </w:rPr>
        <w:t>e levels (2.5, 5.0 or 10.0 g/day) for seven days.</w:t>
      </w:r>
    </w:p>
    <w:p w14:paraId="3C4E76C9" w14:textId="1FA92D08" w:rsidR="00232EB7" w:rsidRDefault="00232EB7" w:rsidP="00234082">
      <w:pPr>
        <w:rPr>
          <w:lang w:bidi="ar-SA"/>
        </w:rPr>
      </w:pPr>
    </w:p>
    <w:p w14:paraId="474C12D3" w14:textId="746663DD" w:rsidR="00304126" w:rsidRPr="00253536" w:rsidRDefault="00304126" w:rsidP="00304126">
      <w:pPr>
        <w:rPr>
          <w:rFonts w:cs="Arial"/>
        </w:rPr>
      </w:pPr>
      <w:r w:rsidRPr="00681A5E">
        <w:rPr>
          <w:rFonts w:cs="Arial"/>
        </w:rPr>
        <w:t xml:space="preserve">van Dokkum et al. (1999) recruited </w:t>
      </w:r>
      <w:r w:rsidRPr="00681A5E">
        <w:rPr>
          <w:lang w:bidi="ar-SA"/>
        </w:rPr>
        <w:t xml:space="preserve">“healthy” males (n=12, mean </w:t>
      </w:r>
      <w:r w:rsidR="007D29C2" w:rsidRPr="00681A5E">
        <w:rPr>
          <w:rFonts w:cs="Arial"/>
          <w:szCs w:val="22"/>
        </w:rPr>
        <w:t>± SD</w:t>
      </w:r>
      <w:r w:rsidR="007D29C2" w:rsidRPr="00681A5E">
        <w:rPr>
          <w:lang w:bidi="ar-SA"/>
        </w:rPr>
        <w:t xml:space="preserve"> </w:t>
      </w:r>
      <w:r w:rsidRPr="00681A5E">
        <w:rPr>
          <w:lang w:bidi="ar-SA"/>
        </w:rPr>
        <w:t xml:space="preserve">age=23 </w:t>
      </w:r>
      <w:r w:rsidR="007D29C2" w:rsidRPr="00681A5E">
        <w:rPr>
          <w:rFonts w:cs="Arial"/>
          <w:szCs w:val="22"/>
        </w:rPr>
        <w:t>± 3</w:t>
      </w:r>
      <w:r w:rsidR="007D29C2" w:rsidRPr="00681A5E">
        <w:rPr>
          <w:lang w:bidi="ar-SA"/>
        </w:rPr>
        <w:t xml:space="preserve"> </w:t>
      </w:r>
      <w:r w:rsidRPr="00681A5E">
        <w:rPr>
          <w:lang w:bidi="ar-SA"/>
        </w:rPr>
        <w:t xml:space="preserve">years, mean </w:t>
      </w:r>
      <w:r w:rsidR="00966C47" w:rsidRPr="00681A5E">
        <w:rPr>
          <w:rFonts w:cs="Arial"/>
          <w:szCs w:val="22"/>
        </w:rPr>
        <w:t>± SD</w:t>
      </w:r>
      <w:r w:rsidR="00966C47" w:rsidRPr="00681A5E">
        <w:rPr>
          <w:lang w:bidi="ar-SA"/>
        </w:rPr>
        <w:t xml:space="preserve"> </w:t>
      </w:r>
      <w:r w:rsidRPr="00681A5E">
        <w:rPr>
          <w:lang w:bidi="ar-SA"/>
        </w:rPr>
        <w:t>weight=79.8</w:t>
      </w:r>
      <w:r w:rsidR="00966C47" w:rsidRPr="00681A5E">
        <w:rPr>
          <w:lang w:bidi="ar-SA"/>
        </w:rPr>
        <w:t xml:space="preserve"> </w:t>
      </w:r>
      <w:r w:rsidR="00966C47" w:rsidRPr="00681A5E">
        <w:rPr>
          <w:rFonts w:cs="Arial"/>
          <w:szCs w:val="22"/>
        </w:rPr>
        <w:t>± 9.2</w:t>
      </w:r>
      <w:r w:rsidRPr="00681A5E">
        <w:rPr>
          <w:lang w:bidi="ar-SA"/>
        </w:rPr>
        <w:t xml:space="preserve"> kg, </w:t>
      </w:r>
      <w:r w:rsidRPr="00681A5E">
        <w:rPr>
          <w:rFonts w:cs="Arial"/>
        </w:rPr>
        <w:t>with normal bowel habits</w:t>
      </w:r>
      <w:r w:rsidRPr="00681A5E">
        <w:rPr>
          <w:lang w:bidi="ar-SA"/>
        </w:rPr>
        <w:t>) in a La</w:t>
      </w:r>
      <w:r w:rsidRPr="00681A5E">
        <w:rPr>
          <w:rFonts w:cs="Arial"/>
        </w:rPr>
        <w:t xml:space="preserve">tin square, randomised, double-blinded, diet-controlled study. </w:t>
      </w:r>
      <w:r w:rsidR="00B06485" w:rsidRPr="00681A5E">
        <w:rPr>
          <w:lang w:bidi="ar-SA"/>
        </w:rPr>
        <w:t>F</w:t>
      </w:r>
      <w:r w:rsidR="00B06485" w:rsidRPr="00681A5E">
        <w:rPr>
          <w:rFonts w:cs="Arial"/>
        </w:rPr>
        <w:t>rom the reported mean weight and height,</w:t>
      </w:r>
      <w:r w:rsidR="00B06485" w:rsidRPr="00681A5E">
        <w:rPr>
          <w:lang w:bidi="ar-SA"/>
        </w:rPr>
        <w:t xml:space="preserve"> we calculated the sample’s m</w:t>
      </w:r>
      <w:r w:rsidR="00966C47" w:rsidRPr="00681A5E">
        <w:rPr>
          <w:lang w:bidi="ar-SA"/>
        </w:rPr>
        <w:t xml:space="preserve">ean body mass index </w:t>
      </w:r>
      <w:r w:rsidR="00B06485" w:rsidRPr="00681A5E">
        <w:rPr>
          <w:lang w:bidi="ar-SA"/>
        </w:rPr>
        <w:t>as</w:t>
      </w:r>
      <w:r w:rsidR="00966C47" w:rsidRPr="00681A5E">
        <w:rPr>
          <w:lang w:bidi="ar-SA"/>
        </w:rPr>
        <w:t xml:space="preserve"> approximately 23 kg/m</w:t>
      </w:r>
      <w:r w:rsidR="00966C47" w:rsidRPr="00681A5E">
        <w:rPr>
          <w:vertAlign w:val="superscript"/>
          <w:lang w:bidi="ar-SA"/>
        </w:rPr>
        <w:t>2</w:t>
      </w:r>
      <w:r w:rsidR="00966C47" w:rsidRPr="00681A5E">
        <w:rPr>
          <w:rFonts w:cs="Arial"/>
        </w:rPr>
        <w:t>. F</w:t>
      </w:r>
      <w:r w:rsidRPr="00681A5E">
        <w:rPr>
          <w:rFonts w:cs="Arial"/>
        </w:rPr>
        <w:t xml:space="preserve">our 3-week </w:t>
      </w:r>
      <w:r w:rsidR="0003223C">
        <w:rPr>
          <w:rFonts w:cs="Arial"/>
        </w:rPr>
        <w:t>conditions were tested: inulin; fructo-oligosaccharide;</w:t>
      </w:r>
      <w:r w:rsidRPr="00403275">
        <w:rPr>
          <w:rFonts w:cs="Arial"/>
        </w:rPr>
        <w:t xml:space="preserve"> </w:t>
      </w:r>
      <w:r w:rsidR="00C92EF1">
        <w:rPr>
          <w:rFonts w:cs="Arial"/>
        </w:rPr>
        <w:t>GOS</w:t>
      </w:r>
      <w:r w:rsidR="0003223C">
        <w:rPr>
          <w:rFonts w:cs="Arial"/>
        </w:rPr>
        <w:t>;</w:t>
      </w:r>
      <w:r w:rsidRPr="00403275">
        <w:rPr>
          <w:rFonts w:cs="Arial"/>
        </w:rPr>
        <w:t xml:space="preserve"> and</w:t>
      </w:r>
      <w:r w:rsidR="0003223C">
        <w:rPr>
          <w:rFonts w:cs="Arial"/>
        </w:rPr>
        <w:t>,</w:t>
      </w:r>
      <w:r w:rsidRPr="00403275">
        <w:rPr>
          <w:rFonts w:cs="Arial"/>
        </w:rPr>
        <w:t xml:space="preserve"> a placebo. No washout period was included. Participants </w:t>
      </w:r>
      <w:r w:rsidRPr="00681A5E">
        <w:rPr>
          <w:rFonts w:cs="Arial"/>
        </w:rPr>
        <w:t xml:space="preserve">were randomised to one of the treatment orders. We report only on the results of </w:t>
      </w:r>
      <w:r w:rsidR="00C92EF1">
        <w:rPr>
          <w:rFonts w:cs="Arial"/>
        </w:rPr>
        <w:t>GOS</w:t>
      </w:r>
      <w:r w:rsidRPr="00E319A1">
        <w:rPr>
          <w:rFonts w:cs="Arial"/>
        </w:rPr>
        <w:t xml:space="preserve"> and placebo conditions.</w:t>
      </w:r>
      <w:r w:rsidRPr="00E319A1">
        <w:rPr>
          <w:lang w:bidi="ar-SA"/>
        </w:rPr>
        <w:t xml:space="preserve"> Participants’ diet w</w:t>
      </w:r>
      <w:r w:rsidR="0003223C">
        <w:rPr>
          <w:lang w:bidi="ar-SA"/>
        </w:rPr>
        <w:t>as</w:t>
      </w:r>
      <w:r w:rsidR="009F61ED" w:rsidRPr="00E319A1">
        <w:rPr>
          <w:lang w:bidi="ar-SA"/>
        </w:rPr>
        <w:t xml:space="preserve"> carefully</w:t>
      </w:r>
      <w:r w:rsidRPr="00E319A1">
        <w:rPr>
          <w:lang w:bidi="ar-SA"/>
        </w:rPr>
        <w:t xml:space="preserve"> controlled. Meals and snacks were provided to participants. </w:t>
      </w:r>
      <w:r w:rsidRPr="00E319A1">
        <w:rPr>
          <w:rFonts w:cs="Arial"/>
        </w:rPr>
        <w:t xml:space="preserve">Dinner meals were consumed from a metabolic ward during the first two weeks. In the last one week, participants stayed at, and ate all foods from, the metabolic ward. </w:t>
      </w:r>
      <w:r w:rsidRPr="009F61ED">
        <w:rPr>
          <w:lang w:bidi="ar-SA"/>
        </w:rPr>
        <w:t xml:space="preserve">The </w:t>
      </w:r>
      <w:r w:rsidR="009F61ED" w:rsidRPr="009F61ED">
        <w:rPr>
          <w:lang w:bidi="ar-SA"/>
        </w:rPr>
        <w:t xml:space="preserve">basal </w:t>
      </w:r>
      <w:r w:rsidRPr="009F61ED">
        <w:rPr>
          <w:lang w:bidi="ar-SA"/>
        </w:rPr>
        <w:t>diet reflected a normal Dutch food pattern</w:t>
      </w:r>
      <w:r w:rsidR="006031FD">
        <w:rPr>
          <w:lang w:bidi="ar-SA"/>
        </w:rPr>
        <w:t xml:space="preserve"> (based on a national food survey)</w:t>
      </w:r>
      <w:r w:rsidR="00681A5E" w:rsidRPr="009F61ED">
        <w:rPr>
          <w:lang w:bidi="ar-SA"/>
        </w:rPr>
        <w:t>, did not contain non</w:t>
      </w:r>
      <w:r w:rsidR="0003223C">
        <w:rPr>
          <w:lang w:bidi="ar-SA"/>
        </w:rPr>
        <w:t>-</w:t>
      </w:r>
      <w:r w:rsidR="00681A5E" w:rsidRPr="009F61ED">
        <w:rPr>
          <w:lang w:bidi="ar-SA"/>
        </w:rPr>
        <w:t>digestible oligosaccharides,</w:t>
      </w:r>
      <w:r w:rsidRPr="009F61ED">
        <w:rPr>
          <w:lang w:bidi="ar-SA"/>
        </w:rPr>
        <w:t xml:space="preserve"> and aimed to maintain a constant body weight</w:t>
      </w:r>
      <w:r w:rsidR="004B2A86">
        <w:rPr>
          <w:lang w:bidi="ar-SA"/>
        </w:rPr>
        <w:t xml:space="preserve">. The </w:t>
      </w:r>
      <w:r w:rsidR="006031FD">
        <w:rPr>
          <w:lang w:bidi="ar-SA"/>
        </w:rPr>
        <w:t xml:space="preserve">basal </w:t>
      </w:r>
      <w:r w:rsidR="00403275">
        <w:rPr>
          <w:lang w:bidi="ar-SA"/>
        </w:rPr>
        <w:t xml:space="preserve">diet, without added </w:t>
      </w:r>
      <w:r w:rsidR="00C92EF1">
        <w:rPr>
          <w:lang w:bidi="ar-SA"/>
        </w:rPr>
        <w:t>GOS</w:t>
      </w:r>
      <w:r w:rsidR="00403275">
        <w:rPr>
          <w:lang w:bidi="ar-SA"/>
        </w:rPr>
        <w:t xml:space="preserve">, </w:t>
      </w:r>
      <w:r w:rsidR="00000977">
        <w:rPr>
          <w:lang w:bidi="ar-SA"/>
        </w:rPr>
        <w:t xml:space="preserve">provided </w:t>
      </w:r>
      <w:r w:rsidR="004B2A86">
        <w:rPr>
          <w:lang w:bidi="ar-SA"/>
        </w:rPr>
        <w:t>24.1 g</w:t>
      </w:r>
      <w:r w:rsidR="00000977">
        <w:rPr>
          <w:lang w:bidi="ar-SA"/>
        </w:rPr>
        <w:t xml:space="preserve">/day </w:t>
      </w:r>
      <w:r w:rsidR="004B2A86">
        <w:rPr>
          <w:lang w:bidi="ar-SA"/>
        </w:rPr>
        <w:t>dietary fibre</w:t>
      </w:r>
      <w:r w:rsidR="006031FD">
        <w:rPr>
          <w:lang w:bidi="ar-SA"/>
        </w:rPr>
        <w:t xml:space="preserve">. </w:t>
      </w:r>
      <w:r w:rsidR="000D6B54">
        <w:rPr>
          <w:lang w:bidi="ar-SA"/>
        </w:rPr>
        <w:t xml:space="preserve">We note this is lower than the Adequate Intake and </w:t>
      </w:r>
      <w:r w:rsidR="000D6B54">
        <w:rPr>
          <w:rFonts w:cs="Arial"/>
          <w:szCs w:val="22"/>
        </w:rPr>
        <w:t xml:space="preserve">Suggested Dietary Target values recommended by the NHMRC (30 g and 38 g per day, respectively) for males aged 19 years and over. </w:t>
      </w:r>
      <w:r w:rsidR="00000977" w:rsidRPr="00403275">
        <w:rPr>
          <w:lang w:bidi="ar-SA"/>
        </w:rPr>
        <w:t>The average fluid intake was</w:t>
      </w:r>
      <w:r w:rsidR="006031FD" w:rsidRPr="00403275">
        <w:rPr>
          <w:lang w:bidi="ar-SA"/>
        </w:rPr>
        <w:t xml:space="preserve"> </w:t>
      </w:r>
      <w:r w:rsidR="004B2A86" w:rsidRPr="00403275">
        <w:rPr>
          <w:lang w:bidi="ar-SA"/>
        </w:rPr>
        <w:t xml:space="preserve">2050 </w:t>
      </w:r>
      <w:r w:rsidR="00000977" w:rsidRPr="00403275">
        <w:rPr>
          <w:lang w:bidi="ar-SA"/>
        </w:rPr>
        <w:t>m</w:t>
      </w:r>
      <w:r w:rsidR="006319DB" w:rsidRPr="00403275">
        <w:rPr>
          <w:lang w:bidi="ar-SA"/>
        </w:rPr>
        <w:t>L</w:t>
      </w:r>
      <w:r w:rsidR="00000977" w:rsidRPr="00403275">
        <w:rPr>
          <w:lang w:bidi="ar-SA"/>
        </w:rPr>
        <w:t>/day</w:t>
      </w:r>
      <w:r w:rsidRPr="00403275">
        <w:rPr>
          <w:lang w:bidi="ar-SA"/>
        </w:rPr>
        <w:t>. Diet adherence was not reported but mean body weight did not statistically differ over time</w:t>
      </w:r>
      <w:r w:rsidR="00E319A1" w:rsidRPr="00403275">
        <w:rPr>
          <w:lang w:bidi="ar-SA"/>
        </w:rPr>
        <w:t xml:space="preserve"> (</w:t>
      </w:r>
      <w:r w:rsidR="00403275" w:rsidRPr="00403275">
        <w:rPr>
          <w:rFonts w:cs="Arial"/>
          <w:i/>
        </w:rPr>
        <w:t>P</w:t>
      </w:r>
      <w:r w:rsidR="00403275" w:rsidRPr="00403275">
        <w:rPr>
          <w:rFonts w:cs="Arial"/>
        </w:rPr>
        <w:t>≥0.05</w:t>
      </w:r>
      <w:r w:rsidR="00E319A1" w:rsidRPr="00403275">
        <w:rPr>
          <w:lang w:bidi="ar-SA"/>
        </w:rPr>
        <w:t>)</w:t>
      </w:r>
      <w:r w:rsidRPr="00403275">
        <w:rPr>
          <w:lang w:bidi="ar-SA"/>
        </w:rPr>
        <w:t xml:space="preserve"> with only marginally</w:t>
      </w:r>
      <w:r w:rsidR="00E319A1" w:rsidRPr="00403275">
        <w:rPr>
          <w:lang w:bidi="ar-SA"/>
        </w:rPr>
        <w:t xml:space="preserve"> changes</w:t>
      </w:r>
      <w:r w:rsidRPr="00403275">
        <w:rPr>
          <w:lang w:bidi="ar-SA"/>
        </w:rPr>
        <w:t xml:space="preserve">: 79.8 kg (baseline); 79.1 kg (week 3); and, 78.1 kg (week 12). During the 3-week </w:t>
      </w:r>
      <w:r w:rsidR="00C92EF1">
        <w:rPr>
          <w:rFonts w:cs="Arial"/>
        </w:rPr>
        <w:t>GOS</w:t>
      </w:r>
      <w:r w:rsidRPr="00403275">
        <w:rPr>
          <w:rFonts w:cs="Arial"/>
        </w:rPr>
        <w:t xml:space="preserve"> </w:t>
      </w:r>
      <w:r w:rsidRPr="009A517E">
        <w:rPr>
          <w:rFonts w:cs="Arial"/>
        </w:rPr>
        <w:t xml:space="preserve">condition, participants consumed 15 g of </w:t>
      </w:r>
      <w:r w:rsidR="00C92EF1">
        <w:rPr>
          <w:rFonts w:cs="Arial"/>
        </w:rPr>
        <w:t>GOS</w:t>
      </w:r>
      <w:r w:rsidRPr="009A517E">
        <w:rPr>
          <w:rFonts w:cs="Arial"/>
        </w:rPr>
        <w:t xml:space="preserve"> daily </w:t>
      </w:r>
      <w:r w:rsidR="008A21FD">
        <w:rPr>
          <w:rFonts w:cs="Arial"/>
        </w:rPr>
        <w:t>(</w:t>
      </w:r>
      <w:r w:rsidRPr="00681A5E">
        <w:rPr>
          <w:rFonts w:cs="Arial"/>
        </w:rPr>
        <w:t>for consumption instructions, structure and form</w:t>
      </w:r>
      <w:r w:rsidR="008A21FD">
        <w:rPr>
          <w:rFonts w:cs="Arial"/>
        </w:rPr>
        <w:t>,</w:t>
      </w:r>
      <w:r w:rsidR="008A21FD" w:rsidRPr="008A21FD">
        <w:rPr>
          <w:rFonts w:cs="Arial"/>
        </w:rPr>
        <w:t xml:space="preserve"> </w:t>
      </w:r>
      <w:r w:rsidR="008A21FD">
        <w:rPr>
          <w:rFonts w:cs="Arial"/>
        </w:rPr>
        <w:t xml:space="preserve">see </w:t>
      </w:r>
      <w:r w:rsidR="008A21FD">
        <w:rPr>
          <w:rFonts w:cs="Arial"/>
          <w:szCs w:val="22"/>
        </w:rPr>
        <w:t>Table 7, Appendix Section 2.5</w:t>
      </w:r>
      <w:r w:rsidRPr="00681A5E">
        <w:rPr>
          <w:rFonts w:cs="Arial"/>
        </w:rPr>
        <w:t xml:space="preserve">). </w:t>
      </w:r>
      <w:r w:rsidRPr="00403275">
        <w:rPr>
          <w:rFonts w:cs="Arial"/>
        </w:rPr>
        <w:t xml:space="preserve">Stool wet weight, representing the weight over 48 hours at the end of the 3-week condition, did not differ between the </w:t>
      </w:r>
      <w:r w:rsidR="00C92EF1">
        <w:rPr>
          <w:rFonts w:cs="Arial"/>
        </w:rPr>
        <w:t>GOS</w:t>
      </w:r>
      <w:r w:rsidRPr="00403275">
        <w:rPr>
          <w:rFonts w:cs="Arial"/>
        </w:rPr>
        <w:t xml:space="preserve"> and placebo condition </w:t>
      </w:r>
      <w:r w:rsidR="00403275">
        <w:rPr>
          <w:rFonts w:cs="Arial"/>
        </w:rPr>
        <w:t xml:space="preserve">at </w:t>
      </w:r>
      <w:r w:rsidR="007F0E9F">
        <w:rPr>
          <w:rFonts w:cs="Arial"/>
        </w:rPr>
        <w:t>follow-up</w:t>
      </w:r>
      <w:r w:rsidR="00403275">
        <w:rPr>
          <w:rFonts w:cs="Arial"/>
        </w:rPr>
        <w:t xml:space="preserve"> </w:t>
      </w:r>
      <w:r w:rsidRPr="00403275">
        <w:rPr>
          <w:rFonts w:cs="Arial"/>
        </w:rPr>
        <w:t>(</w:t>
      </w:r>
      <w:r w:rsidR="00403275" w:rsidRPr="00403275">
        <w:rPr>
          <w:rFonts w:cs="Arial"/>
          <w:i/>
        </w:rPr>
        <w:t>P</w:t>
      </w:r>
      <w:r w:rsidR="00403275" w:rsidRPr="00403275">
        <w:rPr>
          <w:rFonts w:cs="Arial"/>
        </w:rPr>
        <w:t xml:space="preserve">≥0.05). </w:t>
      </w:r>
      <w:r w:rsidRPr="00403275">
        <w:rPr>
          <w:rFonts w:cs="Arial"/>
        </w:rPr>
        <w:t xml:space="preserve">Stool wet weight at the end of 3-week </w:t>
      </w:r>
      <w:r w:rsidR="00C92EF1">
        <w:rPr>
          <w:rFonts w:cs="Arial"/>
        </w:rPr>
        <w:t>GOS</w:t>
      </w:r>
      <w:r w:rsidR="005B343A">
        <w:rPr>
          <w:rFonts w:cs="Arial"/>
        </w:rPr>
        <w:t xml:space="preserve"> and placebo</w:t>
      </w:r>
      <w:r w:rsidRPr="00403275">
        <w:rPr>
          <w:rFonts w:cs="Arial"/>
        </w:rPr>
        <w:t xml:space="preserve"> condition</w:t>
      </w:r>
      <w:r w:rsidR="005B343A">
        <w:rPr>
          <w:rFonts w:cs="Arial"/>
        </w:rPr>
        <w:t>, respectively, was</w:t>
      </w:r>
      <w:r w:rsidRPr="00403275">
        <w:rPr>
          <w:rFonts w:cs="Arial"/>
        </w:rPr>
        <w:t xml:space="preserve">: 297 ± 103 </w:t>
      </w:r>
      <w:r w:rsidRPr="00253536">
        <w:rPr>
          <w:rFonts w:cs="Arial"/>
        </w:rPr>
        <w:t xml:space="preserve">g/48 h (mean ± SD) which </w:t>
      </w:r>
      <w:r w:rsidR="00EB17C5" w:rsidRPr="00253536">
        <w:rPr>
          <w:rFonts w:cs="Arial"/>
        </w:rPr>
        <w:t>we converted to</w:t>
      </w:r>
      <w:r w:rsidRPr="00253536">
        <w:rPr>
          <w:rFonts w:cs="Arial"/>
        </w:rPr>
        <w:t xml:space="preserve"> 14</w:t>
      </w:r>
      <w:r w:rsidR="00B53F5C">
        <w:rPr>
          <w:rFonts w:cs="Arial"/>
        </w:rPr>
        <w:t>9</w:t>
      </w:r>
      <w:r w:rsidRPr="00253536">
        <w:rPr>
          <w:rFonts w:cs="Arial"/>
        </w:rPr>
        <w:t xml:space="preserve"> </w:t>
      </w:r>
      <w:r w:rsidR="00EB17C5" w:rsidRPr="00253536">
        <w:rPr>
          <w:rFonts w:cs="Arial"/>
        </w:rPr>
        <w:t xml:space="preserve">± 51.5 </w:t>
      </w:r>
      <w:r w:rsidR="005B343A" w:rsidRPr="00253536">
        <w:rPr>
          <w:rFonts w:cs="Arial"/>
        </w:rPr>
        <w:t>g/day; and,</w:t>
      </w:r>
      <w:r w:rsidRPr="00253536">
        <w:rPr>
          <w:rFonts w:cs="Arial"/>
        </w:rPr>
        <w:t xml:space="preserve"> 258 ± 85 g/48 h (mean ± SD) which </w:t>
      </w:r>
      <w:r w:rsidR="00EB17C5" w:rsidRPr="00253536">
        <w:rPr>
          <w:rFonts w:cs="Arial"/>
        </w:rPr>
        <w:t>we converted</w:t>
      </w:r>
      <w:r w:rsidRPr="00253536">
        <w:rPr>
          <w:rFonts w:cs="Arial"/>
        </w:rPr>
        <w:t xml:space="preserve"> to 129</w:t>
      </w:r>
      <w:r w:rsidR="00EB17C5" w:rsidRPr="00253536">
        <w:rPr>
          <w:rFonts w:cs="Arial"/>
        </w:rPr>
        <w:t xml:space="preserve"> ± 42.5</w:t>
      </w:r>
      <w:r w:rsidRPr="00253536">
        <w:rPr>
          <w:rFonts w:cs="Arial"/>
        </w:rPr>
        <w:t xml:space="preserve"> g/day</w:t>
      </w:r>
      <w:r w:rsidR="005B343A" w:rsidRPr="00253536">
        <w:rPr>
          <w:rFonts w:cs="Arial"/>
        </w:rPr>
        <w:t xml:space="preserve">. </w:t>
      </w:r>
      <w:r w:rsidR="008D0CCF" w:rsidRPr="00253536">
        <w:rPr>
          <w:rFonts w:cs="Arial"/>
        </w:rPr>
        <w:t>T</w:t>
      </w:r>
      <w:r w:rsidR="005B343A" w:rsidRPr="00253536">
        <w:rPr>
          <w:rFonts w:cs="Arial"/>
        </w:rPr>
        <w:t>he</w:t>
      </w:r>
      <w:r w:rsidRPr="00253536">
        <w:rPr>
          <w:rFonts w:cs="Arial"/>
        </w:rPr>
        <w:t xml:space="preserve"> </w:t>
      </w:r>
      <w:r w:rsidR="00674C31" w:rsidRPr="00253536">
        <w:rPr>
          <w:rFonts w:cs="Arial"/>
        </w:rPr>
        <w:t xml:space="preserve">relative </w:t>
      </w:r>
      <w:r w:rsidRPr="00253536">
        <w:rPr>
          <w:rFonts w:cs="Arial"/>
        </w:rPr>
        <w:t xml:space="preserve">stool weight </w:t>
      </w:r>
      <w:r w:rsidR="008D0CCF" w:rsidRPr="00253536">
        <w:rPr>
          <w:rFonts w:cs="Arial"/>
        </w:rPr>
        <w:t xml:space="preserve">at </w:t>
      </w:r>
      <w:r w:rsidR="007F0E9F">
        <w:rPr>
          <w:rFonts w:cs="Arial"/>
        </w:rPr>
        <w:t>follow-up</w:t>
      </w:r>
      <w:r w:rsidR="008D0CCF" w:rsidRPr="00253536">
        <w:rPr>
          <w:rFonts w:cs="Arial"/>
        </w:rPr>
        <w:t xml:space="preserve"> was </w:t>
      </w:r>
      <w:r w:rsidRPr="00253536">
        <w:rPr>
          <w:rFonts w:cs="Arial"/>
        </w:rPr>
        <w:t>1.3</w:t>
      </w:r>
      <w:r w:rsidR="00674C31" w:rsidRPr="00253536">
        <w:rPr>
          <w:rFonts w:cs="Arial"/>
        </w:rPr>
        <w:t xml:space="preserve"> ± 0.7</w:t>
      </w:r>
      <w:r w:rsidRPr="00253536">
        <w:rPr>
          <w:rFonts w:cs="Arial"/>
        </w:rPr>
        <w:t xml:space="preserve"> g/day per gram of </w:t>
      </w:r>
      <w:r w:rsidR="00C92EF1">
        <w:rPr>
          <w:rFonts w:cs="Arial"/>
        </w:rPr>
        <w:t>GOS</w:t>
      </w:r>
      <w:r w:rsidRPr="00253536">
        <w:rPr>
          <w:rFonts w:cs="Arial"/>
        </w:rPr>
        <w:t xml:space="preserve"> consumed, that is, a </w:t>
      </w:r>
      <w:r w:rsidR="008D0CCF" w:rsidRPr="00253536">
        <w:rPr>
          <w:rFonts w:cs="Arial"/>
        </w:rPr>
        <w:t>higher</w:t>
      </w:r>
      <w:r w:rsidRPr="00253536">
        <w:rPr>
          <w:rFonts w:cs="Arial"/>
        </w:rPr>
        <w:t xml:space="preserve"> stool weight in the intervention con</w:t>
      </w:r>
      <w:r w:rsidR="008D0CCF" w:rsidRPr="00253536">
        <w:rPr>
          <w:rFonts w:cs="Arial"/>
        </w:rPr>
        <w:t>dition relative to the placebo.</w:t>
      </w:r>
      <w:r w:rsidRPr="00253536">
        <w:rPr>
          <w:rFonts w:cs="Arial"/>
        </w:rPr>
        <w:t xml:space="preserve"> </w:t>
      </w:r>
      <w:r w:rsidR="0029083D" w:rsidRPr="00253536">
        <w:rPr>
          <w:rFonts w:cs="Arial"/>
        </w:rPr>
        <w:t>This</w:t>
      </w:r>
      <w:r w:rsidRPr="00253536">
        <w:rPr>
          <w:rFonts w:cs="Arial"/>
        </w:rPr>
        <w:t xml:space="preserve"> exceeds the </w:t>
      </w:r>
      <w:r w:rsidR="0029083D" w:rsidRPr="00253536">
        <w:rPr>
          <w:rFonts w:cs="Arial"/>
        </w:rPr>
        <w:t>&gt;1 g/g but not the &gt; 5 g/g benchmark</w:t>
      </w:r>
      <w:r w:rsidRPr="00253536">
        <w:rPr>
          <w:rFonts w:cs="Arial"/>
        </w:rPr>
        <w:t>.</w:t>
      </w:r>
      <w:r w:rsidR="0029083D" w:rsidRPr="00253536">
        <w:rPr>
          <w:rFonts w:cs="Arial"/>
        </w:rPr>
        <w:t xml:space="preserve"> </w:t>
      </w:r>
      <w:r w:rsidR="00424FC0" w:rsidRPr="00253536">
        <w:rPr>
          <w:rFonts w:cs="Arial"/>
        </w:rPr>
        <w:t>When the</w:t>
      </w:r>
      <w:r w:rsidR="0029083D" w:rsidRPr="00253536">
        <w:rPr>
          <w:rFonts w:cs="Arial"/>
        </w:rPr>
        <w:t xml:space="preserve"> variance</w:t>
      </w:r>
      <w:r w:rsidR="00424FC0" w:rsidRPr="00253536">
        <w:rPr>
          <w:rFonts w:cs="Arial"/>
        </w:rPr>
        <w:t xml:space="preserve"> (SE is 0.7 g/day per GOS g) is taken into account, however, the &gt;1 g/g benchmark may not be met (the relative stool weight may be as low as 0.6 g/day per GOS g).</w:t>
      </w:r>
      <w:r w:rsidR="0029083D" w:rsidRPr="00253536">
        <w:rPr>
          <w:rFonts w:cs="Arial"/>
        </w:rPr>
        <w:t xml:space="preserve"> </w:t>
      </w:r>
      <w:r w:rsidRPr="00253536">
        <w:rPr>
          <w:szCs w:val="22"/>
          <w:lang w:bidi="ar-SA"/>
        </w:rPr>
        <w:t xml:space="preserve">In this sample of healthy </w:t>
      </w:r>
      <w:r w:rsidR="00253536" w:rsidRPr="00253536">
        <w:rPr>
          <w:szCs w:val="22"/>
          <w:lang w:bidi="ar-SA"/>
        </w:rPr>
        <w:t xml:space="preserve">young </w:t>
      </w:r>
      <w:r w:rsidRPr="00253536">
        <w:rPr>
          <w:szCs w:val="22"/>
          <w:lang w:bidi="ar-SA"/>
        </w:rPr>
        <w:t xml:space="preserve">males, </w:t>
      </w:r>
      <w:r w:rsidR="0003223C">
        <w:rPr>
          <w:szCs w:val="22"/>
          <w:lang w:bidi="ar-SA"/>
        </w:rPr>
        <w:t>there was</w:t>
      </w:r>
      <w:r w:rsidR="00253536" w:rsidRPr="00253536">
        <w:rPr>
          <w:szCs w:val="22"/>
          <w:lang w:bidi="ar-SA"/>
        </w:rPr>
        <w:t xml:space="preserve"> a possibility of </w:t>
      </w:r>
      <w:r w:rsidRPr="00253536">
        <w:rPr>
          <w:rFonts w:cs="Arial"/>
        </w:rPr>
        <w:t>a laxative effect when consum</w:t>
      </w:r>
      <w:r w:rsidR="00253536" w:rsidRPr="00253536">
        <w:rPr>
          <w:rFonts w:cs="Arial"/>
        </w:rPr>
        <w:t xml:space="preserve">ing </w:t>
      </w:r>
      <w:r w:rsidR="00C92EF1">
        <w:rPr>
          <w:rFonts w:cs="Arial"/>
        </w:rPr>
        <w:t>GOS</w:t>
      </w:r>
      <w:r w:rsidR="00253536" w:rsidRPr="00253536">
        <w:rPr>
          <w:rFonts w:cs="Arial"/>
        </w:rPr>
        <w:t xml:space="preserve"> </w:t>
      </w:r>
      <w:r w:rsidR="004A3479">
        <w:rPr>
          <w:rFonts w:cs="Arial"/>
        </w:rPr>
        <w:t>at a high intak</w:t>
      </w:r>
      <w:r w:rsidRPr="00253536">
        <w:rPr>
          <w:rFonts w:cs="Arial"/>
        </w:rPr>
        <w:t>e level (15 g/day) for three weeks.</w:t>
      </w:r>
    </w:p>
    <w:p w14:paraId="2729BF31" w14:textId="6E5C5AF0" w:rsidR="0029083D" w:rsidRDefault="0029083D" w:rsidP="00304126">
      <w:pPr>
        <w:rPr>
          <w:rFonts w:cs="Arial"/>
          <w:color w:val="FF0000"/>
        </w:rPr>
      </w:pPr>
    </w:p>
    <w:p w14:paraId="5FD5883E" w14:textId="0030F3CF" w:rsidR="002A381C" w:rsidRPr="009A315C" w:rsidRDefault="002A381C" w:rsidP="002A381C">
      <w:r w:rsidRPr="00B9446E">
        <w:rPr>
          <w:rFonts w:cs="Arial"/>
        </w:rPr>
        <w:t xml:space="preserve">Alles et al. (1999) conducted a parallel, single-blind (participants), controlled trial. </w:t>
      </w:r>
      <w:r w:rsidRPr="00827FAD">
        <w:rPr>
          <w:rFonts w:cs="Arial"/>
        </w:rPr>
        <w:t>Randomisation is not mentioned; we contacted the corresponding author to seek clarification,</w:t>
      </w:r>
      <w:r w:rsidRPr="00B9446E">
        <w:rPr>
          <w:rFonts w:cs="Arial"/>
        </w:rPr>
        <w:t xml:space="preserve"> but received no response. Adults aged 18-75 years with a stable body weight (n=41 but 1 withdrew in first week and data represents n=40; 18 females and 22 males) were recruited. </w:t>
      </w:r>
      <w:r w:rsidRPr="00407AE0">
        <w:rPr>
          <w:rFonts w:cs="Arial"/>
        </w:rPr>
        <w:t xml:space="preserve">The exclusion criteria encompassed: antibiotic or laxative use, or surgery, during the last 12 </w:t>
      </w:r>
      <w:r w:rsidRPr="008D2214">
        <w:rPr>
          <w:rFonts w:cs="Arial"/>
        </w:rPr>
        <w:t>months</w:t>
      </w:r>
      <w:r w:rsidRPr="00407AE0">
        <w:rPr>
          <w:rFonts w:cs="Arial"/>
        </w:rPr>
        <w:t xml:space="preserve">; complaints of diarrhoea, obstipation, or abdominal </w:t>
      </w:r>
      <w:r w:rsidRPr="00407AE0">
        <w:rPr>
          <w:rFonts w:cs="Arial"/>
        </w:rPr>
        <w:lastRenderedPageBreak/>
        <w:t xml:space="preserve">pain; medication use for gastrointestinal function; gastrointestinal </w:t>
      </w:r>
      <w:r w:rsidRPr="008D2214">
        <w:rPr>
          <w:rFonts w:cs="Arial"/>
        </w:rPr>
        <w:t>or gallbladder disorders</w:t>
      </w:r>
      <w:r>
        <w:rPr>
          <w:rFonts w:cs="Arial"/>
        </w:rPr>
        <w:t>; a serum triacylglycerol of ≥2.5 mmol/L and a serum cholesterol of ≥7.0 mmol/L; and, abnormal hemocytometric values and urinary values for protein, glucose, and pH. A</w:t>
      </w:r>
      <w:r w:rsidRPr="008D2214">
        <w:rPr>
          <w:rFonts w:cs="Arial"/>
        </w:rPr>
        <w:t xml:space="preserve"> </w:t>
      </w:r>
      <w:r>
        <w:rPr>
          <w:rFonts w:cs="Arial"/>
        </w:rPr>
        <w:t>breath-lactose test was conducted to exclude hydrogen responders to lactose.</w:t>
      </w:r>
      <w:r w:rsidRPr="008D2214">
        <w:rPr>
          <w:rFonts w:cs="Arial"/>
        </w:rPr>
        <w:t xml:space="preserve"> </w:t>
      </w:r>
      <w:r w:rsidRPr="008D2214">
        <w:t>Participants completed t</w:t>
      </w:r>
      <w:r w:rsidRPr="008D2214">
        <w:rPr>
          <w:rFonts w:cs="Arial"/>
        </w:rPr>
        <w:t>wo consecutive 3-week blocks: a 3-week run-in diet (</w:t>
      </w:r>
      <w:r w:rsidRPr="0066033C">
        <w:rPr>
          <w:rFonts w:cs="Arial"/>
        </w:rPr>
        <w:t xml:space="preserve">common to all participants) followed by a three 3-week experimental condition. Participants were divided in to one of three conditions which varied by the </w:t>
      </w:r>
      <w:r w:rsidR="00C92EF1">
        <w:rPr>
          <w:rFonts w:cs="Arial"/>
        </w:rPr>
        <w:t>GOS</w:t>
      </w:r>
      <w:r w:rsidR="004A3479">
        <w:rPr>
          <w:rFonts w:cs="Arial"/>
        </w:rPr>
        <w:t xml:space="preserve"> intak</w:t>
      </w:r>
      <w:r w:rsidRPr="0066033C">
        <w:rPr>
          <w:rFonts w:cs="Arial"/>
        </w:rPr>
        <w:t xml:space="preserve">e level: </w:t>
      </w:r>
      <w:r w:rsidR="004A3479">
        <w:rPr>
          <w:rFonts w:cs="Arial"/>
        </w:rPr>
        <w:t>placebo (0 g/day, n=13); low intak</w:t>
      </w:r>
      <w:r w:rsidRPr="0066033C">
        <w:rPr>
          <w:rFonts w:cs="Arial"/>
        </w:rPr>
        <w:t>e (intended to be 7.5 g/day, n=13); a</w:t>
      </w:r>
      <w:r w:rsidR="004A3479">
        <w:rPr>
          <w:rFonts w:cs="Arial"/>
        </w:rPr>
        <w:t>nd, high intak</w:t>
      </w:r>
      <w:r w:rsidRPr="0066033C">
        <w:rPr>
          <w:rFonts w:cs="Arial"/>
        </w:rPr>
        <w:t xml:space="preserve">e (intended to be 15.0 g/day, n=14). </w:t>
      </w:r>
      <w:r w:rsidRPr="000F0D24">
        <w:rPr>
          <w:rFonts w:cs="Arial"/>
        </w:rPr>
        <w:t>The mean baseline body mass index and age was approximately 23 kg/m</w:t>
      </w:r>
      <w:r w:rsidRPr="000F0D24">
        <w:rPr>
          <w:rFonts w:cs="Arial"/>
          <w:vertAlign w:val="superscript"/>
        </w:rPr>
        <w:t>2</w:t>
      </w:r>
      <w:r w:rsidRPr="000F0D24">
        <w:rPr>
          <w:rFonts w:cs="Arial"/>
        </w:rPr>
        <w:t xml:space="preserve"> and 39 years; neither significantly differed between groups. </w:t>
      </w:r>
      <w:r w:rsidRPr="00B9446E">
        <w:rPr>
          <w:rFonts w:cs="Arial"/>
        </w:rPr>
        <w:t>Participants’</w:t>
      </w:r>
      <w:r>
        <w:rPr>
          <w:rFonts w:cs="Arial"/>
        </w:rPr>
        <w:t xml:space="preserve"> diet w</w:t>
      </w:r>
      <w:r w:rsidR="0003223C">
        <w:rPr>
          <w:rFonts w:cs="Arial"/>
        </w:rPr>
        <w:t>as</w:t>
      </w:r>
      <w:r>
        <w:rPr>
          <w:rFonts w:cs="Arial"/>
        </w:rPr>
        <w:t xml:space="preserve"> carefully </w:t>
      </w:r>
      <w:r w:rsidRPr="00B9446E">
        <w:rPr>
          <w:rFonts w:cs="Arial"/>
        </w:rPr>
        <w:t>controlled: ~90% of participants’ energy intake was from supplied foods</w:t>
      </w:r>
      <w:r>
        <w:rPr>
          <w:rFonts w:cs="Arial"/>
        </w:rPr>
        <w:t>;</w:t>
      </w:r>
      <w:r w:rsidRPr="00B9446E">
        <w:rPr>
          <w:rFonts w:cs="Arial"/>
        </w:rPr>
        <w:t xml:space="preserve"> and</w:t>
      </w:r>
      <w:r>
        <w:rPr>
          <w:rFonts w:cs="Arial"/>
        </w:rPr>
        <w:t>,</w:t>
      </w:r>
      <w:r w:rsidRPr="00B9446E">
        <w:rPr>
          <w:rFonts w:cs="Arial"/>
        </w:rPr>
        <w:t xml:space="preserve"> ~10% was from ‘free choice’ foods chosen by the participant from a list of non-fibre containing foods (they were encouraged not to change their selection throughout the study). Participants’ habitual energy intake was estimated and they received a study diet that met their individual energy needs. The 21 3-week ‘menus’ included conventional foods, were of a similar nutrient composition other than the oligosaccharides, and are described as being rich in animal protein and low in fibre. During the study, energy intakes were adjusted in response to body weight change (which was recorded three times per week) to maintain a stable weight. Weekday lunches were consumed at the Department. Other weekday food was packaged and provided daily. Weekend food was provided on Fridays. </w:t>
      </w:r>
      <w:r w:rsidRPr="009F69F3">
        <w:rPr>
          <w:rFonts w:cs="Arial"/>
        </w:rPr>
        <w:t>Participants’ intake of ‘free choice’ foods and any deviations from their usual diet was documented</w:t>
      </w:r>
      <w:r w:rsidRPr="000F0D24">
        <w:rPr>
          <w:rFonts w:cs="Arial"/>
        </w:rPr>
        <w:t>. Energy intake from the ‘free choice’ foods did not significantly differ between condition</w:t>
      </w:r>
      <w:r>
        <w:rPr>
          <w:rFonts w:cs="Arial"/>
        </w:rPr>
        <w:t xml:space="preserve">s (accounting for </w:t>
      </w:r>
      <w:r w:rsidRPr="0033231D">
        <w:rPr>
          <w:rFonts w:cs="Arial"/>
        </w:rPr>
        <w:t xml:space="preserve">11.2% of total energy with a range of 7.7 to 14.4%), nor did the intake of energy (mean ± SEM ranged from 10.5 ± 0.4 MJ to 11.0 ± 0.5 MJ), fibre (mean ± SEM ranged from 1.74 ± 0.02 g/MJ to 1.77 ± 0.02 g/MJ), and percentage of energy from macronutrients from the diet overall. </w:t>
      </w:r>
      <w:r>
        <w:rPr>
          <w:rFonts w:cs="Arial"/>
        </w:rPr>
        <w:t xml:space="preserve">Fluid intake is not reported. Compliance for </w:t>
      </w:r>
      <w:r w:rsidR="00C92EF1">
        <w:rPr>
          <w:rFonts w:cs="Arial"/>
        </w:rPr>
        <w:t>GOS</w:t>
      </w:r>
      <w:r>
        <w:rPr>
          <w:rFonts w:cs="Arial"/>
        </w:rPr>
        <w:t xml:space="preserve"> intake was “near 100%” based on inspection of juice bottles and intake of the lunch meal in the Department. </w:t>
      </w:r>
      <w:r w:rsidR="0003223C">
        <w:rPr>
          <w:rFonts w:cs="Arial"/>
        </w:rPr>
        <w:t>Alles et al. (1999) stated</w:t>
      </w:r>
      <w:r w:rsidRPr="000F0D24">
        <w:rPr>
          <w:rFonts w:cs="Arial"/>
        </w:rPr>
        <w:t xml:space="preserve"> that, during the three 3-week intervention period, non-placebo participants were provided a</w:t>
      </w:r>
      <w:r w:rsidR="004A3479">
        <w:rPr>
          <w:rFonts w:cs="Arial"/>
        </w:rPr>
        <w:t>n intake</w:t>
      </w:r>
      <w:r w:rsidRPr="000F0D24">
        <w:rPr>
          <w:rFonts w:cs="Arial"/>
        </w:rPr>
        <w:t xml:space="preserve"> level of </w:t>
      </w:r>
      <w:r w:rsidR="00C92EF1">
        <w:rPr>
          <w:rFonts w:cs="Arial"/>
        </w:rPr>
        <w:t>GOS</w:t>
      </w:r>
      <w:r w:rsidRPr="000F0D24">
        <w:rPr>
          <w:rFonts w:cs="Arial"/>
        </w:rPr>
        <w:t xml:space="preserve"> aimed to be 7.5 g/day or 15.0 g/day. They lat</w:t>
      </w:r>
      <w:r w:rsidR="004A3479">
        <w:rPr>
          <w:rFonts w:cs="Arial"/>
        </w:rPr>
        <w:t>er state</w:t>
      </w:r>
      <w:r w:rsidR="0003223C">
        <w:rPr>
          <w:rFonts w:cs="Arial"/>
        </w:rPr>
        <w:t>d</w:t>
      </w:r>
      <w:r w:rsidR="004A3479">
        <w:rPr>
          <w:rFonts w:cs="Arial"/>
        </w:rPr>
        <w:t xml:space="preserve"> that the low and high intake</w:t>
      </w:r>
      <w:r w:rsidRPr="000F0D24">
        <w:rPr>
          <w:rFonts w:cs="Arial"/>
        </w:rPr>
        <w:t xml:space="preserve"> diet provided a mean of 8.5 g/day and 14.4 g/day, respectively (for consumption instructions, structure and form</w:t>
      </w:r>
      <w:r w:rsidR="008A21FD">
        <w:rPr>
          <w:rFonts w:cs="Arial"/>
        </w:rPr>
        <w:t xml:space="preserve">, see </w:t>
      </w:r>
      <w:r w:rsidR="008A21FD">
        <w:rPr>
          <w:rFonts w:cs="Arial"/>
          <w:szCs w:val="22"/>
        </w:rPr>
        <w:t>Table 7, Appendix Section 2.5</w:t>
      </w:r>
      <w:r w:rsidRPr="000F0D24">
        <w:rPr>
          <w:rFonts w:cs="Arial"/>
        </w:rPr>
        <w:t xml:space="preserve">). </w:t>
      </w:r>
      <w:r w:rsidRPr="00143FAE">
        <w:rPr>
          <w:rFonts w:cs="Arial"/>
        </w:rPr>
        <w:t>Change in stool weight, reflecting stool collected during the last weekend of the run-in and intervention period, was not signifi</w:t>
      </w:r>
      <w:r w:rsidR="004A3479">
        <w:rPr>
          <w:rFonts w:cs="Arial"/>
        </w:rPr>
        <w:t>cantly different between low intake and placebo or high intak</w:t>
      </w:r>
      <w:r w:rsidRPr="00143FAE">
        <w:rPr>
          <w:rFonts w:cs="Arial"/>
        </w:rPr>
        <w:t>e and placebo (</w:t>
      </w:r>
      <w:r w:rsidRPr="00143FAE">
        <w:rPr>
          <w:rFonts w:cs="Arial"/>
          <w:i/>
        </w:rPr>
        <w:t>P</w:t>
      </w:r>
      <w:r w:rsidRPr="00143FAE">
        <w:rPr>
          <w:rFonts w:cs="Arial"/>
        </w:rPr>
        <w:t xml:space="preserve">≥0.05). The difference in the change of stool weight over time between the low </w:t>
      </w:r>
      <w:r w:rsidR="004A3479">
        <w:rPr>
          <w:rFonts w:cs="Arial"/>
        </w:rPr>
        <w:t>intake</w:t>
      </w:r>
      <w:r w:rsidRPr="00143FAE">
        <w:rPr>
          <w:rFonts w:cs="Arial"/>
        </w:rPr>
        <w:t xml:space="preserve"> condition and placebo was 22.3 g/day (-21.2, 65.9; mean, 95% CI), that is, a relative increase in stool weight in the low </w:t>
      </w:r>
      <w:r w:rsidR="004A3479">
        <w:rPr>
          <w:rFonts w:cs="Arial"/>
        </w:rPr>
        <w:t>intake</w:t>
      </w:r>
      <w:r w:rsidRPr="00143FAE">
        <w:rPr>
          <w:rFonts w:cs="Arial"/>
        </w:rPr>
        <w:t xml:space="preserve"> condition. Although the stool weight decreased within the high </w:t>
      </w:r>
      <w:r w:rsidR="004A3479">
        <w:rPr>
          <w:rFonts w:cs="Arial"/>
        </w:rPr>
        <w:t>intake</w:t>
      </w:r>
      <w:r w:rsidRPr="00143FAE">
        <w:rPr>
          <w:rFonts w:cs="Arial"/>
        </w:rPr>
        <w:t xml:space="preserve"> condition by 4 g/day, the difference in the change of stool weight over time between the high </w:t>
      </w:r>
      <w:r w:rsidR="004A3479">
        <w:rPr>
          <w:rFonts w:cs="Arial"/>
        </w:rPr>
        <w:t>intake</w:t>
      </w:r>
      <w:r w:rsidRPr="00143FAE">
        <w:rPr>
          <w:rFonts w:cs="Arial"/>
        </w:rPr>
        <w:t xml:space="preserve"> condition and placebo was 3.52 g/day (-39.3, 46.3; mean, 95% CI). We converted these values (22.3 g/day and 3.52 g/day) </w:t>
      </w:r>
      <w:r w:rsidRPr="001816CE">
        <w:rPr>
          <w:rFonts w:cs="Arial"/>
        </w:rPr>
        <w:t>for comparison against the benchmarks of &gt;1 g/g and &gt;5 g/g. Our calculations are based on the</w:t>
      </w:r>
      <w:r w:rsidRPr="001816CE">
        <w:rPr>
          <w:rFonts w:cs="Arial"/>
          <w:b/>
        </w:rPr>
        <w:t xml:space="preserve"> </w:t>
      </w:r>
      <w:r w:rsidRPr="001816CE">
        <w:rPr>
          <w:rFonts w:cs="Arial"/>
        </w:rPr>
        <w:t xml:space="preserve">change in stool weight by time and group, relative to the amount of </w:t>
      </w:r>
      <w:r w:rsidR="00C92EF1">
        <w:rPr>
          <w:rFonts w:cs="Arial"/>
        </w:rPr>
        <w:t>GOS</w:t>
      </w:r>
      <w:r w:rsidRPr="001816CE">
        <w:rPr>
          <w:rFonts w:cs="Arial"/>
        </w:rPr>
        <w:t xml:space="preserve"> consumed (8.5 g/day and 14.4 g/day) rather than the amount aimed for (7.5 g/day or 15.0 g/day). </w:t>
      </w:r>
      <w:r w:rsidRPr="009A315C">
        <w:rPr>
          <w:rFonts w:cs="Arial"/>
        </w:rPr>
        <w:t xml:space="preserve">An increased stool weight of 2.6 g/day </w:t>
      </w:r>
      <w:r w:rsidR="009E745B">
        <w:rPr>
          <w:rFonts w:cs="Arial"/>
          <w:szCs w:val="22"/>
        </w:rPr>
        <w:t>(SE:</w:t>
      </w:r>
      <w:r w:rsidRPr="009A315C">
        <w:rPr>
          <w:rFonts w:cs="Arial"/>
          <w:szCs w:val="22"/>
        </w:rPr>
        <w:t xml:space="preserve"> 2.6)</w:t>
      </w:r>
      <w:r w:rsidRPr="009A315C">
        <w:rPr>
          <w:rFonts w:cs="Arial"/>
        </w:rPr>
        <w:t xml:space="preserve"> and 0.2 g/day </w:t>
      </w:r>
      <w:r w:rsidR="009E745B">
        <w:rPr>
          <w:rFonts w:cs="Arial"/>
          <w:szCs w:val="22"/>
        </w:rPr>
        <w:t>(SE:</w:t>
      </w:r>
      <w:r w:rsidRPr="009A315C">
        <w:rPr>
          <w:rFonts w:cs="Arial"/>
          <w:szCs w:val="22"/>
        </w:rPr>
        <w:t xml:space="preserve"> 1.5</w:t>
      </w:r>
      <w:r w:rsidRPr="009A315C">
        <w:rPr>
          <w:rFonts w:cs="Arial"/>
        </w:rPr>
        <w:t xml:space="preserve">) per gram of </w:t>
      </w:r>
      <w:r w:rsidR="00C92EF1">
        <w:rPr>
          <w:rFonts w:cs="Arial"/>
        </w:rPr>
        <w:t>GOS</w:t>
      </w:r>
      <w:r w:rsidRPr="009A315C">
        <w:rPr>
          <w:rFonts w:cs="Arial"/>
        </w:rPr>
        <w:t xml:space="preserve"> consumed was demonstrated in the low and high </w:t>
      </w:r>
      <w:r w:rsidR="004A3479">
        <w:rPr>
          <w:rFonts w:cs="Arial"/>
        </w:rPr>
        <w:t>intake</w:t>
      </w:r>
      <w:r w:rsidRPr="009A315C">
        <w:rPr>
          <w:rFonts w:cs="Arial"/>
        </w:rPr>
        <w:t xml:space="preserve"> condition, respectively. That is, an increased stool weight, 2.</w:t>
      </w:r>
      <w:r w:rsidR="00BB6F18">
        <w:rPr>
          <w:rFonts w:cs="Arial"/>
        </w:rPr>
        <w:t>6 g/day, in the low intak</w:t>
      </w:r>
      <w:r w:rsidRPr="009A315C">
        <w:rPr>
          <w:rFonts w:cs="Arial"/>
        </w:rPr>
        <w:t xml:space="preserve">e condition relative to the placebo that exceeds </w:t>
      </w:r>
      <w:r>
        <w:rPr>
          <w:rFonts w:cs="Arial"/>
        </w:rPr>
        <w:t>a</w:t>
      </w:r>
      <w:r w:rsidRPr="009A315C">
        <w:rPr>
          <w:rFonts w:cs="Arial"/>
        </w:rPr>
        <w:t xml:space="preserve"> &gt;1 g/g but not </w:t>
      </w:r>
      <w:r>
        <w:rPr>
          <w:rFonts w:cs="Arial"/>
        </w:rPr>
        <w:t>a</w:t>
      </w:r>
      <w:r w:rsidRPr="009A315C">
        <w:rPr>
          <w:rFonts w:cs="Arial"/>
        </w:rPr>
        <w:t xml:space="preserve"> &gt;5 g/g benchmark. </w:t>
      </w:r>
      <w:r w:rsidRPr="00253536">
        <w:rPr>
          <w:rFonts w:cs="Arial"/>
        </w:rPr>
        <w:t>When the variance</w:t>
      </w:r>
      <w:r>
        <w:rPr>
          <w:rFonts w:cs="Arial"/>
        </w:rPr>
        <w:t xml:space="preserve"> (SE is 2.6</w:t>
      </w:r>
      <w:r w:rsidRPr="00253536">
        <w:rPr>
          <w:rFonts w:cs="Arial"/>
        </w:rPr>
        <w:t xml:space="preserve"> g/day per GOS g) is taken into account, however, the &gt;1 g/g benchmark may not be met (the relative s</w:t>
      </w:r>
      <w:r>
        <w:rPr>
          <w:rFonts w:cs="Arial"/>
        </w:rPr>
        <w:t>tool weight may be as low as 0.0</w:t>
      </w:r>
      <w:r w:rsidRPr="00253536">
        <w:rPr>
          <w:rFonts w:cs="Arial"/>
        </w:rPr>
        <w:t xml:space="preserve"> g/day per GOS g).</w:t>
      </w:r>
      <w:r w:rsidRPr="00240F03">
        <w:rPr>
          <w:rFonts w:cs="Arial"/>
          <w:color w:val="FF0000"/>
        </w:rPr>
        <w:t xml:space="preserve"> </w:t>
      </w:r>
      <w:r w:rsidRPr="009A315C">
        <w:rPr>
          <w:rFonts w:cs="Arial"/>
        </w:rPr>
        <w:t>A meaningful</w:t>
      </w:r>
      <w:r>
        <w:rPr>
          <w:rFonts w:cs="Arial"/>
        </w:rPr>
        <w:t xml:space="preserve"> relative</w:t>
      </w:r>
      <w:r w:rsidRPr="009A315C">
        <w:rPr>
          <w:rFonts w:cs="Arial"/>
        </w:rPr>
        <w:t xml:space="preserve"> increase in the stool weight was not, however, demonstrated in the high</w:t>
      </w:r>
      <w:r w:rsidR="00BB6F18">
        <w:rPr>
          <w:rFonts w:cs="Arial"/>
        </w:rPr>
        <w:t xml:space="preserve"> intake</w:t>
      </w:r>
      <w:r w:rsidRPr="009A315C">
        <w:rPr>
          <w:rFonts w:cs="Arial"/>
        </w:rPr>
        <w:t xml:space="preserve"> </w:t>
      </w:r>
      <w:r w:rsidRPr="001816CE">
        <w:rPr>
          <w:rFonts w:cs="Arial"/>
        </w:rPr>
        <w:t>condition (0.2 g/day)</w:t>
      </w:r>
      <w:r w:rsidRPr="001816CE">
        <w:rPr>
          <w:rStyle w:val="FootnoteReference"/>
          <w:rFonts w:cs="Arial"/>
        </w:rPr>
        <w:footnoteReference w:id="2"/>
      </w:r>
      <w:r w:rsidRPr="001816CE">
        <w:rPr>
          <w:rFonts w:cs="Arial"/>
        </w:rPr>
        <w:t xml:space="preserve"> for either the &gt;1 </w:t>
      </w:r>
      <w:r w:rsidRPr="001816CE">
        <w:rPr>
          <w:rFonts w:cs="Arial"/>
        </w:rPr>
        <w:lastRenderedPageBreak/>
        <w:t>g/g or &gt;5 g/g benchmark. Thus, in this sample of adults with no notable risk factors, Alles et al. (1999) provide</w:t>
      </w:r>
      <w:r w:rsidR="0003223C">
        <w:rPr>
          <w:rFonts w:cs="Arial"/>
        </w:rPr>
        <w:t>d</w:t>
      </w:r>
      <w:r w:rsidRPr="001816CE">
        <w:rPr>
          <w:rFonts w:cs="Arial"/>
        </w:rPr>
        <w:t xml:space="preserve"> inconsistent findings, suggesting there is a possibility of a laxative effect of </w:t>
      </w:r>
      <w:r w:rsidR="00C92EF1">
        <w:rPr>
          <w:rFonts w:cs="Arial"/>
        </w:rPr>
        <w:t>GOS</w:t>
      </w:r>
      <w:r w:rsidRPr="001816CE">
        <w:rPr>
          <w:rFonts w:cs="Arial"/>
        </w:rPr>
        <w:t>’ when consumed at a moderate (8.5 g/da</w:t>
      </w:r>
      <w:r w:rsidR="00BB6F18">
        <w:rPr>
          <w:rFonts w:cs="Arial"/>
        </w:rPr>
        <w:t>y) but not high (14.4 g/day) intak</w:t>
      </w:r>
      <w:r w:rsidRPr="001816CE">
        <w:rPr>
          <w:rFonts w:cs="Arial"/>
        </w:rPr>
        <w:t>e level for three weeks</w:t>
      </w:r>
      <w:r w:rsidRPr="001816CE">
        <w:rPr>
          <w:rFonts w:cs="Arial"/>
          <w:szCs w:val="22"/>
        </w:rPr>
        <w:t>.</w:t>
      </w:r>
    </w:p>
    <w:p w14:paraId="68198B1E" w14:textId="3CAAD4F2" w:rsidR="00876C14" w:rsidRPr="002A381C" w:rsidRDefault="00876C14" w:rsidP="00304126">
      <w:pPr>
        <w:rPr>
          <w:lang w:bidi="ar-SA"/>
        </w:rPr>
      </w:pPr>
    </w:p>
    <w:p w14:paraId="38314454" w14:textId="77777777" w:rsidR="00232EB7" w:rsidRPr="00EE6D4C" w:rsidRDefault="00232EB7" w:rsidP="00234082">
      <w:pPr>
        <w:rPr>
          <w:lang w:bidi="ar-SA"/>
        </w:rPr>
      </w:pPr>
    </w:p>
    <w:p w14:paraId="4FCDE921" w14:textId="10A4D660" w:rsidR="003D7003" w:rsidRDefault="003D7003" w:rsidP="0073104D">
      <w:pPr>
        <w:pStyle w:val="Heading2"/>
      </w:pPr>
      <w:bookmarkStart w:id="31" w:name="_Toc64561467"/>
      <w:bookmarkStart w:id="32" w:name="_Toc66868369"/>
      <w:r>
        <w:t>2.</w:t>
      </w:r>
      <w:r w:rsidR="00F73110">
        <w:t>3.1</w:t>
      </w:r>
      <w:r w:rsidRPr="00B52107">
        <w:t xml:space="preserve"> </w:t>
      </w:r>
      <w:r>
        <w:t>Blood cholesterol:</w:t>
      </w:r>
      <w:r w:rsidRPr="00B52107">
        <w:t xml:space="preserve"> </w:t>
      </w:r>
      <w:r>
        <w:t>review methodology and results</w:t>
      </w:r>
      <w:bookmarkEnd w:id="31"/>
      <w:bookmarkEnd w:id="32"/>
    </w:p>
    <w:p w14:paraId="3E17B757" w14:textId="564FF75B" w:rsidR="009E745B" w:rsidRPr="00CC1910" w:rsidRDefault="009E745B" w:rsidP="009E745B">
      <w:pPr>
        <w:rPr>
          <w:lang w:bidi="ar-SA"/>
        </w:rPr>
      </w:pPr>
      <w:r>
        <w:rPr>
          <w:lang w:bidi="ar-SA"/>
        </w:rPr>
        <w:t xml:space="preserve">We identified </w:t>
      </w:r>
      <w:r w:rsidRPr="00D43803">
        <w:rPr>
          <w:lang w:bidi="ar-SA"/>
        </w:rPr>
        <w:t xml:space="preserve">original research publications </w:t>
      </w:r>
      <w:r>
        <w:rPr>
          <w:lang w:bidi="ar-SA"/>
        </w:rPr>
        <w:t xml:space="preserve">using search terms related to galacto-oligosaccharides and cholesterol. The applicant identified one further study (Pedersen et al. 2016). Five studies are relevant (van Dokkum et al. 1999, Vulevic et al. 2008, Vulevic et al. 2013, Pedersen et al. 2016, and Canfora et al. 2017). </w:t>
      </w:r>
      <w:r>
        <w:rPr>
          <w:rFonts w:cs="Arial"/>
          <w:szCs w:val="22"/>
        </w:rPr>
        <w:t xml:space="preserve">Data extraction, conversion, and analyses are explained in Table </w:t>
      </w:r>
      <w:r w:rsidR="00A65AE0">
        <w:rPr>
          <w:rFonts w:cs="Arial"/>
          <w:szCs w:val="22"/>
        </w:rPr>
        <w:t>3</w:t>
      </w:r>
      <w:r>
        <w:rPr>
          <w:rFonts w:cs="Arial"/>
          <w:szCs w:val="22"/>
        </w:rPr>
        <w:t xml:space="preserve"> footnotes and </w:t>
      </w:r>
      <w:r w:rsidR="0075189F">
        <w:rPr>
          <w:rFonts w:cs="Arial"/>
          <w:szCs w:val="22"/>
        </w:rPr>
        <w:t>Appendix</w:t>
      </w:r>
      <w:r>
        <w:rPr>
          <w:rFonts w:cs="Arial"/>
          <w:szCs w:val="22"/>
        </w:rPr>
        <w:t xml:space="preserve"> Section 2.6.</w:t>
      </w:r>
    </w:p>
    <w:p w14:paraId="1EC0D33B" w14:textId="1F7E4B39" w:rsidR="009E745B" w:rsidRDefault="009E745B" w:rsidP="009E745B">
      <w:pPr>
        <w:rPr>
          <w:lang w:bidi="ar-SA"/>
        </w:rPr>
      </w:pPr>
    </w:p>
    <w:p w14:paraId="4B189D67" w14:textId="77777777" w:rsidR="009E745B" w:rsidRPr="009E745B" w:rsidRDefault="009E745B" w:rsidP="009E745B">
      <w:pPr>
        <w:rPr>
          <w:lang w:bidi="ar-SA"/>
        </w:rPr>
      </w:pPr>
    </w:p>
    <w:p w14:paraId="72F36D8B" w14:textId="258B9959" w:rsidR="003D7003" w:rsidRDefault="003D7003" w:rsidP="0073104D">
      <w:pPr>
        <w:pStyle w:val="Heading2"/>
      </w:pPr>
      <w:bookmarkStart w:id="33" w:name="_Toc64561468"/>
      <w:bookmarkStart w:id="34" w:name="_Toc66868370"/>
      <w:r>
        <w:t>2.</w:t>
      </w:r>
      <w:r w:rsidR="00F73110">
        <w:t>3.2</w:t>
      </w:r>
      <w:r w:rsidRPr="00B52107">
        <w:t xml:space="preserve"> </w:t>
      </w:r>
      <w:r>
        <w:t>Blood cholesterol:</w:t>
      </w:r>
      <w:r w:rsidRPr="00B52107">
        <w:t xml:space="preserve"> in</w:t>
      </w:r>
      <w:r>
        <w:t>cluded</w:t>
      </w:r>
      <w:r w:rsidRPr="00B52107">
        <w:t xml:space="preserve"> studies</w:t>
      </w:r>
      <w:r>
        <w:t>’ methodology and results</w:t>
      </w:r>
      <w:bookmarkEnd w:id="33"/>
      <w:bookmarkEnd w:id="34"/>
    </w:p>
    <w:p w14:paraId="26C0CC7A" w14:textId="526F3724" w:rsidR="009E745B" w:rsidRPr="004E01A6" w:rsidRDefault="009E745B" w:rsidP="009E745B">
      <w:pPr>
        <w:rPr>
          <w:rFonts w:cs="Arial"/>
          <w:highlight w:val="yellow"/>
        </w:rPr>
      </w:pPr>
      <w:r>
        <w:rPr>
          <w:lang w:bidi="ar-SA"/>
        </w:rPr>
        <w:t xml:space="preserve">A detailed review of the five studies is provided below and in Table </w:t>
      </w:r>
      <w:r w:rsidR="004C293F">
        <w:rPr>
          <w:lang w:bidi="ar-SA"/>
        </w:rPr>
        <w:t>7</w:t>
      </w:r>
      <w:r w:rsidR="008A21FD">
        <w:rPr>
          <w:lang w:bidi="ar-SA"/>
        </w:rPr>
        <w:t xml:space="preserve"> (</w:t>
      </w:r>
      <w:r w:rsidR="008A21FD">
        <w:rPr>
          <w:rFonts w:cs="Arial"/>
          <w:szCs w:val="22"/>
        </w:rPr>
        <w:t>Appendix Section 2.5</w:t>
      </w:r>
      <w:r w:rsidR="008A21FD">
        <w:rPr>
          <w:lang w:bidi="ar-SA"/>
        </w:rPr>
        <w:t>)</w:t>
      </w:r>
      <w:r>
        <w:rPr>
          <w:lang w:bidi="ar-SA"/>
        </w:rPr>
        <w:t>.</w:t>
      </w:r>
    </w:p>
    <w:p w14:paraId="4D711B9E" w14:textId="77777777" w:rsidR="009E745B" w:rsidRDefault="009E745B" w:rsidP="009E745B">
      <w:pPr>
        <w:rPr>
          <w:lang w:bidi="ar-SA"/>
        </w:rPr>
      </w:pPr>
    </w:p>
    <w:p w14:paraId="073D5830" w14:textId="40FD58B3" w:rsidR="009E745B" w:rsidRPr="00661EB8" w:rsidRDefault="009E745B" w:rsidP="009E745B">
      <w:pPr>
        <w:rPr>
          <w:szCs w:val="22"/>
          <w:lang w:bidi="ar-SA"/>
        </w:rPr>
      </w:pPr>
      <w:r>
        <w:rPr>
          <w:lang w:bidi="ar-SA"/>
        </w:rPr>
        <w:t xml:space="preserve">The study design of van Dokkum et al. (1999) has been summarised in </w:t>
      </w:r>
      <w:r w:rsidR="0075189F">
        <w:rPr>
          <w:lang w:bidi="ar-SA"/>
        </w:rPr>
        <w:t xml:space="preserve">Appendix </w:t>
      </w:r>
      <w:r>
        <w:rPr>
          <w:lang w:bidi="ar-SA"/>
        </w:rPr>
        <w:t xml:space="preserve">Section 2.2.2. With regards to blood cholesterol, participants’ baseline blood lipid concentrations were not reported although authors state they had “normal health” as assessed using a medical history, clinical laboratory tests, and vital signs. Fasting blood lipid concentrations represent the mean from blood sampled on two consecutive days at the end of each treatment period. The measures included: total serum cholesterol (mmol/L); HDL-, HDL2-, HDL3- and LDL-cholesterol (mmol/L); phospholipids (mmol/L); triacylglycerol (mmol/L); and, apolipoprotein A-1 and B (g/L). None of the blood lipid concentrations were statistically significantly different between the </w:t>
      </w:r>
      <w:r w:rsidR="00C92EF1">
        <w:rPr>
          <w:lang w:bidi="ar-SA"/>
        </w:rPr>
        <w:t>GOS</w:t>
      </w:r>
      <w:r>
        <w:rPr>
          <w:lang w:bidi="ar-SA"/>
        </w:rPr>
        <w:t xml:space="preserve"> condition and placebo at the end of the 21-day treatment period (</w:t>
      </w:r>
      <w:r>
        <w:rPr>
          <w:i/>
          <w:lang w:bidi="ar-SA"/>
        </w:rPr>
        <w:t>P</w:t>
      </w:r>
      <w:r>
        <w:rPr>
          <w:lang w:bidi="ar-SA"/>
        </w:rPr>
        <w:t xml:space="preserve">&gt;0.05). In this sample of healthy </w:t>
      </w:r>
      <w:r w:rsidRPr="003D4ECA">
        <w:rPr>
          <w:lang w:bidi="ar-SA"/>
        </w:rPr>
        <w:t>adult males</w:t>
      </w:r>
      <w:r>
        <w:rPr>
          <w:lang w:bidi="ar-SA"/>
        </w:rPr>
        <w:t>, t</w:t>
      </w:r>
      <w:r>
        <w:rPr>
          <w:rFonts w:cs="Arial"/>
        </w:rPr>
        <w:t>hese findings suggest</w:t>
      </w:r>
      <w:r>
        <w:rPr>
          <w:szCs w:val="22"/>
          <w:lang w:bidi="ar-SA"/>
        </w:rPr>
        <w:t xml:space="preserve"> </w:t>
      </w:r>
      <w:r w:rsidR="00C92EF1">
        <w:rPr>
          <w:rFonts w:cs="Arial"/>
        </w:rPr>
        <w:t>GOS</w:t>
      </w:r>
      <w:r>
        <w:rPr>
          <w:rFonts w:cs="Arial"/>
        </w:rPr>
        <w:t xml:space="preserve"> intake has no effect on blood cholesterol or other blood lipid outcomes when consumed</w:t>
      </w:r>
      <w:r w:rsidRPr="00FA0ACB">
        <w:rPr>
          <w:rFonts w:cs="Arial"/>
        </w:rPr>
        <w:t xml:space="preserve"> </w:t>
      </w:r>
      <w:r w:rsidR="00BB6F18">
        <w:rPr>
          <w:rFonts w:cs="Arial"/>
        </w:rPr>
        <w:t>at a high intak</w:t>
      </w:r>
      <w:r>
        <w:rPr>
          <w:rFonts w:cs="Arial"/>
        </w:rPr>
        <w:t>e level (</w:t>
      </w:r>
      <w:r w:rsidRPr="00FA0ACB">
        <w:rPr>
          <w:rFonts w:cs="Arial"/>
        </w:rPr>
        <w:t>15 g</w:t>
      </w:r>
      <w:r>
        <w:rPr>
          <w:rFonts w:cs="Arial"/>
        </w:rPr>
        <w:t>/day)</w:t>
      </w:r>
      <w:r w:rsidRPr="00034E8E">
        <w:rPr>
          <w:rFonts w:cs="Arial"/>
        </w:rPr>
        <w:t xml:space="preserve"> </w:t>
      </w:r>
      <w:r w:rsidRPr="003D4ECA">
        <w:rPr>
          <w:rFonts w:cs="Arial"/>
        </w:rPr>
        <w:t>over</w:t>
      </w:r>
      <w:r>
        <w:rPr>
          <w:rFonts w:cs="Arial"/>
        </w:rPr>
        <w:t xml:space="preserve"> three weeks.</w:t>
      </w:r>
    </w:p>
    <w:p w14:paraId="576CF078" w14:textId="77777777" w:rsidR="009E745B" w:rsidRDefault="009E745B" w:rsidP="009E745B">
      <w:pPr>
        <w:rPr>
          <w:lang w:bidi="ar-SA"/>
        </w:rPr>
      </w:pPr>
    </w:p>
    <w:p w14:paraId="09520CEE" w14:textId="07736F7F" w:rsidR="009E745B" w:rsidRPr="00482BCD" w:rsidRDefault="009E745B" w:rsidP="009E745B">
      <w:pPr>
        <w:rPr>
          <w:rFonts w:cs="Arial"/>
          <w:color w:val="FF0000"/>
        </w:rPr>
      </w:pPr>
      <w:r w:rsidRPr="00482BCD">
        <w:rPr>
          <w:szCs w:val="22"/>
          <w:lang w:bidi="ar-SA"/>
        </w:rPr>
        <w:t xml:space="preserve">Vulevic et al. (2008) conducted a </w:t>
      </w:r>
      <w:r w:rsidRPr="00482BCD">
        <w:rPr>
          <w:rFonts w:cs="Arial"/>
          <w:szCs w:val="22"/>
          <w:lang w:bidi="ar-SA"/>
        </w:rPr>
        <w:t>double-blind</w:t>
      </w:r>
      <w:r w:rsidRPr="005243C3">
        <w:rPr>
          <w:rFonts w:cs="Arial"/>
          <w:szCs w:val="22"/>
          <w:lang w:bidi="ar-SA"/>
        </w:rPr>
        <w:t xml:space="preserve">, randomised, </w:t>
      </w:r>
      <w:r w:rsidRPr="00482BCD">
        <w:rPr>
          <w:rFonts w:cs="Arial"/>
          <w:szCs w:val="22"/>
          <w:lang w:bidi="ar-SA"/>
        </w:rPr>
        <w:t xml:space="preserve">controlled, crossover study. </w:t>
      </w:r>
      <w:r w:rsidRPr="005243C3">
        <w:rPr>
          <w:rFonts w:cs="Arial"/>
          <w:szCs w:val="22"/>
          <w:lang w:bidi="ar-SA"/>
        </w:rPr>
        <w:t>Participants were elderly (</w:t>
      </w:r>
      <w:r w:rsidRPr="005243C3">
        <w:rPr>
          <w:rFonts w:cs="Arial"/>
          <w:szCs w:val="22"/>
          <w:lang w:val="en"/>
        </w:rPr>
        <w:t>age: 69.3 ± 4.0 years</w:t>
      </w:r>
      <w:r w:rsidRPr="005243C3">
        <w:rPr>
          <w:rFonts w:cs="Arial"/>
          <w:szCs w:val="22"/>
          <w:lang w:bidi="ar-SA"/>
        </w:rPr>
        <w:t>) males (n=16) and females (n=28) with a body mass index range of 22-31 kg/m</w:t>
      </w:r>
      <w:r w:rsidRPr="005243C3">
        <w:rPr>
          <w:rFonts w:cs="Arial"/>
          <w:szCs w:val="22"/>
          <w:vertAlign w:val="superscript"/>
          <w:lang w:bidi="ar-SA"/>
        </w:rPr>
        <w:t>2</w:t>
      </w:r>
      <w:r w:rsidR="00604E8E">
        <w:rPr>
          <w:rFonts w:cs="Arial"/>
          <w:szCs w:val="22"/>
          <w:lang w:bidi="ar-SA"/>
        </w:rPr>
        <w:t>. The data represented</w:t>
      </w:r>
      <w:r w:rsidRPr="005243C3">
        <w:rPr>
          <w:rFonts w:cs="Arial"/>
          <w:szCs w:val="22"/>
          <w:lang w:bidi="ar-SA"/>
        </w:rPr>
        <w:t xml:space="preserve"> n=41 as three participants did not complete the study. </w:t>
      </w:r>
      <w:r w:rsidRPr="005243C3">
        <w:rPr>
          <w:rFonts w:cs="Arial"/>
        </w:rPr>
        <w:t xml:space="preserve">We </w:t>
      </w:r>
      <w:r w:rsidR="00604E8E">
        <w:rPr>
          <w:rFonts w:cs="Arial"/>
          <w:szCs w:val="22"/>
        </w:rPr>
        <w:t xml:space="preserve">note that </w:t>
      </w:r>
      <w:r w:rsidRPr="005243C3">
        <w:rPr>
          <w:rFonts w:cs="Arial"/>
          <w:szCs w:val="22"/>
        </w:rPr>
        <w:t xml:space="preserve">one participant withdrew after three weeks, due to experiencing </w:t>
      </w:r>
      <w:r w:rsidR="005243C3">
        <w:rPr>
          <w:rFonts w:cs="Arial"/>
          <w:szCs w:val="22"/>
        </w:rPr>
        <w:t>“</w:t>
      </w:r>
      <w:r w:rsidR="00604E8E">
        <w:rPr>
          <w:rFonts w:cs="Arial"/>
          <w:szCs w:val="22"/>
        </w:rPr>
        <w:t xml:space="preserve">tolerance problems”; </w:t>
      </w:r>
      <w:r w:rsidRPr="005243C3">
        <w:rPr>
          <w:rFonts w:cs="Arial"/>
          <w:szCs w:val="22"/>
        </w:rPr>
        <w:t>we presume this occurred during the intervention condition, but it is not stated nor are the severity of symptoms specified.</w:t>
      </w:r>
      <w:r w:rsidRPr="003E5757">
        <w:rPr>
          <w:rFonts w:cs="Arial"/>
          <w:szCs w:val="22"/>
        </w:rPr>
        <w:t xml:space="preserve"> </w:t>
      </w:r>
      <w:r w:rsidRPr="003E5757">
        <w:rPr>
          <w:rFonts w:cs="Arial"/>
          <w:szCs w:val="22"/>
          <w:lang w:bidi="ar-SA"/>
        </w:rPr>
        <w:t>Exclusion criteria were applied to prevent volunteers with gastrointestinal tract dysfunction from participa</w:t>
      </w:r>
      <w:r w:rsidR="00F01B19">
        <w:rPr>
          <w:rFonts w:cs="Arial"/>
          <w:szCs w:val="22"/>
          <w:lang w:bidi="ar-SA"/>
        </w:rPr>
        <w:t xml:space="preserve">ting, such as medication use, or </w:t>
      </w:r>
      <w:r w:rsidR="00F01B19">
        <w:t>history or evidence of disorder of the gastrointestinal tract</w:t>
      </w:r>
      <w:r w:rsidRPr="003E5757">
        <w:rPr>
          <w:rFonts w:cs="Arial"/>
          <w:szCs w:val="22"/>
          <w:lang w:bidi="ar-SA"/>
        </w:rPr>
        <w:t>.</w:t>
      </w:r>
      <w:r w:rsidR="00607EBA" w:rsidRPr="003E5757">
        <w:rPr>
          <w:rFonts w:cs="Arial"/>
          <w:szCs w:val="22"/>
          <w:lang w:bidi="ar-SA"/>
        </w:rPr>
        <w:t xml:space="preserve"> </w:t>
      </w:r>
      <w:r w:rsidR="003E5757" w:rsidRPr="003E5757">
        <w:rPr>
          <w:rFonts w:cs="Arial"/>
          <w:szCs w:val="22"/>
          <w:lang w:bidi="ar-SA"/>
        </w:rPr>
        <w:t>Exclusion criteria also included: a</w:t>
      </w:r>
      <w:r w:rsidR="00607EBA" w:rsidRPr="003E5757">
        <w:rPr>
          <w:rFonts w:cs="Arial"/>
          <w:szCs w:val="22"/>
          <w:lang w:bidi="ar-SA"/>
        </w:rPr>
        <w:t xml:space="preserve">ntibiotic use </w:t>
      </w:r>
      <w:r w:rsidR="003E5757" w:rsidRPr="003E5757">
        <w:rPr>
          <w:rFonts w:cs="Arial"/>
          <w:szCs w:val="22"/>
          <w:lang w:bidi="ar-SA"/>
        </w:rPr>
        <w:t>three</w:t>
      </w:r>
      <w:r w:rsidR="00607EBA" w:rsidRPr="003E5757">
        <w:rPr>
          <w:rFonts w:cs="Arial"/>
          <w:szCs w:val="22"/>
          <w:lang w:bidi="ar-SA"/>
        </w:rPr>
        <w:t xml:space="preserve"> months before the study; use of pre-, pro-, or sym-biotic supplements</w:t>
      </w:r>
      <w:r w:rsidR="003E5757" w:rsidRPr="003E5757">
        <w:rPr>
          <w:rFonts w:cs="Arial"/>
          <w:szCs w:val="22"/>
          <w:lang w:bidi="ar-SA"/>
        </w:rPr>
        <w:t>, either regularly within</w:t>
      </w:r>
      <w:r w:rsidR="00607EBA" w:rsidRPr="003E5757">
        <w:rPr>
          <w:rFonts w:cs="Arial"/>
          <w:szCs w:val="22"/>
          <w:lang w:bidi="ar-SA"/>
        </w:rPr>
        <w:t xml:space="preserve"> two weeks before the study</w:t>
      </w:r>
      <w:r w:rsidR="003E5757" w:rsidRPr="003E5757">
        <w:rPr>
          <w:rFonts w:cs="Arial"/>
          <w:szCs w:val="22"/>
          <w:lang w:bidi="ar-SA"/>
        </w:rPr>
        <w:t>, or in another study six months before this study</w:t>
      </w:r>
      <w:r w:rsidR="00607EBA" w:rsidRPr="003E5757">
        <w:rPr>
          <w:rFonts w:cs="Arial"/>
          <w:szCs w:val="22"/>
          <w:lang w:bidi="ar-SA"/>
        </w:rPr>
        <w:t xml:space="preserve">; use of </w:t>
      </w:r>
      <w:r w:rsidR="00781EAE" w:rsidRPr="003E5757">
        <w:rPr>
          <w:rFonts w:cs="Arial"/>
          <w:szCs w:val="22"/>
          <w:lang w:bidi="ar-SA"/>
        </w:rPr>
        <w:t>immunosuppressive or anti-inflammatory drugs or drugs affecting intestinal mobility; or, a body mass index of &lt;20 kg/m</w:t>
      </w:r>
      <w:r w:rsidR="00781EAE" w:rsidRPr="003E5757">
        <w:rPr>
          <w:rFonts w:cs="Arial"/>
          <w:szCs w:val="22"/>
          <w:vertAlign w:val="superscript"/>
          <w:lang w:bidi="ar-SA"/>
        </w:rPr>
        <w:t>2</w:t>
      </w:r>
      <w:r w:rsidR="00781EAE" w:rsidRPr="003E5757">
        <w:rPr>
          <w:rFonts w:cs="Arial"/>
          <w:szCs w:val="22"/>
          <w:lang w:bidi="ar-SA"/>
        </w:rPr>
        <w:t xml:space="preserve"> (women) or </w:t>
      </w:r>
      <w:r w:rsidR="003E5757" w:rsidRPr="003E5757">
        <w:rPr>
          <w:rFonts w:cs="Arial"/>
          <w:szCs w:val="22"/>
          <w:lang w:bidi="ar-SA"/>
        </w:rPr>
        <w:t>&lt;</w:t>
      </w:r>
      <w:r w:rsidR="00781EAE" w:rsidRPr="003E5757">
        <w:rPr>
          <w:rFonts w:cs="Arial"/>
          <w:szCs w:val="22"/>
          <w:lang w:bidi="ar-SA"/>
        </w:rPr>
        <w:t>22 kg/m</w:t>
      </w:r>
      <w:r w:rsidR="00781EAE" w:rsidRPr="003E5757">
        <w:rPr>
          <w:rFonts w:cs="Arial"/>
          <w:szCs w:val="22"/>
          <w:vertAlign w:val="superscript"/>
          <w:lang w:bidi="ar-SA"/>
        </w:rPr>
        <w:t>2</w:t>
      </w:r>
      <w:r w:rsidR="00781EAE" w:rsidRPr="003E5757">
        <w:rPr>
          <w:rFonts w:cs="Arial"/>
          <w:szCs w:val="22"/>
          <w:lang w:bidi="ar-SA"/>
        </w:rPr>
        <w:t xml:space="preserve"> (men).</w:t>
      </w:r>
      <w:r w:rsidRPr="003E5757">
        <w:rPr>
          <w:rFonts w:cs="Arial"/>
          <w:szCs w:val="22"/>
          <w:lang w:bidi="ar-SA"/>
        </w:rPr>
        <w:t xml:space="preserve"> </w:t>
      </w:r>
      <w:r w:rsidRPr="00DB17C1">
        <w:rPr>
          <w:rFonts w:cs="Arial"/>
          <w:szCs w:val="22"/>
          <w:lang w:bidi="ar-SA"/>
        </w:rPr>
        <w:t>Other than being in “good health” the authors d</w:t>
      </w:r>
      <w:r w:rsidR="00604E8E">
        <w:rPr>
          <w:rFonts w:cs="Arial"/>
          <w:szCs w:val="22"/>
          <w:lang w:bidi="ar-SA"/>
        </w:rPr>
        <w:t>id</w:t>
      </w:r>
      <w:r w:rsidRPr="00DB17C1">
        <w:rPr>
          <w:rFonts w:cs="Arial"/>
          <w:szCs w:val="22"/>
          <w:lang w:bidi="ar-SA"/>
        </w:rPr>
        <w:t xml:space="preserve"> not mention whether participants were screened on the basis of blood lipid concentration. </w:t>
      </w:r>
      <w:r w:rsidRPr="00482BCD">
        <w:rPr>
          <w:rFonts w:cs="Arial"/>
          <w:szCs w:val="22"/>
          <w:lang w:bidi="ar-SA"/>
        </w:rPr>
        <w:t xml:space="preserve">Two 10-week conditions were tested, a placebo and </w:t>
      </w:r>
      <w:r w:rsidR="00C92EF1">
        <w:rPr>
          <w:rFonts w:cs="Arial"/>
        </w:rPr>
        <w:t>GOS</w:t>
      </w:r>
      <w:r w:rsidRPr="00482BCD">
        <w:rPr>
          <w:rFonts w:cs="Arial"/>
        </w:rPr>
        <w:t xml:space="preserve"> condition, </w:t>
      </w:r>
      <w:r w:rsidRPr="00C8699C">
        <w:rPr>
          <w:rFonts w:cs="Arial"/>
        </w:rPr>
        <w:t>with a 4</w:t>
      </w:r>
      <w:r w:rsidRPr="00C8699C">
        <w:rPr>
          <w:rFonts w:cs="Arial"/>
          <w:szCs w:val="22"/>
          <w:lang w:bidi="ar-SA"/>
        </w:rPr>
        <w:t>-week washout period between conditions. Participants’ diet w</w:t>
      </w:r>
      <w:r w:rsidR="00604E8E">
        <w:rPr>
          <w:rFonts w:cs="Arial"/>
          <w:szCs w:val="22"/>
          <w:lang w:bidi="ar-SA"/>
        </w:rPr>
        <w:t>as</w:t>
      </w:r>
      <w:r w:rsidRPr="00C8699C">
        <w:rPr>
          <w:rFonts w:cs="Arial"/>
          <w:szCs w:val="22"/>
          <w:lang w:bidi="ar-SA"/>
        </w:rPr>
        <w:t xml:space="preserve"> not assessed. </w:t>
      </w:r>
      <w:r w:rsidRPr="004453A7">
        <w:rPr>
          <w:lang w:bidi="ar-SA"/>
        </w:rPr>
        <w:t>Although body weight</w:t>
      </w:r>
      <w:r w:rsidR="00C54C2D" w:rsidRPr="004453A7">
        <w:rPr>
          <w:lang w:bidi="ar-SA"/>
        </w:rPr>
        <w:t xml:space="preserve"> was measured and compliance with the study protocol was recorded, neither were</w:t>
      </w:r>
      <w:r w:rsidRPr="004453A7">
        <w:rPr>
          <w:lang w:bidi="ar-SA"/>
        </w:rPr>
        <w:t xml:space="preserve"> reported. During the 10-</w:t>
      </w:r>
      <w:r w:rsidRPr="004453A7">
        <w:rPr>
          <w:lang w:bidi="ar-SA"/>
        </w:rPr>
        <w:lastRenderedPageBreak/>
        <w:t xml:space="preserve">week </w:t>
      </w:r>
      <w:r w:rsidR="00C92EF1">
        <w:rPr>
          <w:rFonts w:cs="Arial"/>
        </w:rPr>
        <w:t>GOS</w:t>
      </w:r>
      <w:r w:rsidRPr="004453A7">
        <w:rPr>
          <w:rFonts w:cs="Arial"/>
        </w:rPr>
        <w:t xml:space="preserve"> condition, participants</w:t>
      </w:r>
      <w:r w:rsidRPr="003E5757">
        <w:rPr>
          <w:rFonts w:cs="Arial"/>
        </w:rPr>
        <w:t xml:space="preserve"> consumed 2.6 g of </w:t>
      </w:r>
      <w:r w:rsidR="00C92EF1">
        <w:rPr>
          <w:rFonts w:cs="Arial"/>
        </w:rPr>
        <w:t>GOS</w:t>
      </w:r>
      <w:r w:rsidRPr="00C54C2D">
        <w:rPr>
          <w:rFonts w:cs="Arial"/>
        </w:rPr>
        <w:t xml:space="preserve"> daily (for consumption instructions, structure and form</w:t>
      </w:r>
      <w:r w:rsidR="008A21FD">
        <w:rPr>
          <w:rFonts w:cs="Arial"/>
        </w:rPr>
        <w:t xml:space="preserve">, see </w:t>
      </w:r>
      <w:r w:rsidR="008A21FD">
        <w:rPr>
          <w:rFonts w:cs="Arial"/>
          <w:szCs w:val="22"/>
        </w:rPr>
        <w:t>Table 7, Appendix Section 2.5</w:t>
      </w:r>
      <w:r w:rsidRPr="00C54C2D">
        <w:rPr>
          <w:rFonts w:cs="Arial"/>
        </w:rPr>
        <w:t xml:space="preserve">). </w:t>
      </w:r>
      <w:r w:rsidRPr="00C54C2D">
        <w:rPr>
          <w:lang w:bidi="ar-SA"/>
        </w:rPr>
        <w:t xml:space="preserve">Plasma lipid measures included total cholesterol and HDL-cholesterol. Blood lipids were measured at three time points during each condition: day 0, week 5, and week 10. </w:t>
      </w:r>
      <w:r w:rsidRPr="004453A7">
        <w:rPr>
          <w:rFonts w:cs="Arial"/>
        </w:rPr>
        <w:t xml:space="preserve">Participants’ baseline total and HDL-cholesterol levels were not </w:t>
      </w:r>
      <w:r w:rsidRPr="004453A7">
        <w:rPr>
          <w:rFonts w:cs="Arial"/>
          <w:szCs w:val="22"/>
          <w:lang w:bidi="ar-SA"/>
        </w:rPr>
        <w:t>significantly different between groups</w:t>
      </w:r>
      <w:r w:rsidR="004453A7" w:rsidRPr="004453A7">
        <w:rPr>
          <w:rFonts w:cs="Arial"/>
          <w:szCs w:val="22"/>
          <w:lang w:bidi="ar-SA"/>
        </w:rPr>
        <w:t xml:space="preserve"> (</w:t>
      </w:r>
      <w:r w:rsidR="004453A7" w:rsidRPr="004453A7">
        <w:rPr>
          <w:rFonts w:cs="Arial"/>
          <w:i/>
          <w:szCs w:val="22"/>
          <w:lang w:bidi="ar-SA"/>
        </w:rPr>
        <w:t>P</w:t>
      </w:r>
      <w:r w:rsidR="004453A7" w:rsidRPr="004453A7">
        <w:rPr>
          <w:rFonts w:cs="Arial"/>
          <w:szCs w:val="22"/>
          <w:lang w:bidi="ar-SA"/>
        </w:rPr>
        <w:t>≥0.05)</w:t>
      </w:r>
      <w:r w:rsidRPr="004453A7">
        <w:rPr>
          <w:rFonts w:cs="Arial"/>
          <w:szCs w:val="22"/>
          <w:lang w:bidi="ar-SA"/>
        </w:rPr>
        <w:t xml:space="preserve">: the mean total cholesterol for the two conditions was 4.9 and 5.0 mmol/L and the mean HDL-cholesterol for both conditions, 1.3 mmol/L. </w:t>
      </w:r>
      <w:r w:rsidRPr="004453A7">
        <w:rPr>
          <w:lang w:bidi="ar-SA"/>
        </w:rPr>
        <w:t>Total and HDL- cholesterol did not significantly differ between the two conditions at baseline, week 5 or week 10, and did not change over time</w:t>
      </w:r>
      <w:r w:rsidR="00501D75" w:rsidRPr="004453A7">
        <w:rPr>
          <w:lang w:bidi="ar-SA"/>
        </w:rPr>
        <w:t xml:space="preserve"> (</w:t>
      </w:r>
      <w:r w:rsidR="00501D75" w:rsidRPr="004453A7">
        <w:rPr>
          <w:i/>
          <w:lang w:bidi="ar-SA"/>
        </w:rPr>
        <w:t>P</w:t>
      </w:r>
      <w:r w:rsidR="00501D75" w:rsidRPr="004453A7">
        <w:rPr>
          <w:rFonts w:cs="Arial"/>
          <w:lang w:bidi="ar-SA"/>
        </w:rPr>
        <w:t>≥</w:t>
      </w:r>
      <w:r w:rsidR="00501D75" w:rsidRPr="004453A7">
        <w:rPr>
          <w:lang w:bidi="ar-SA"/>
        </w:rPr>
        <w:t>0.05</w:t>
      </w:r>
      <w:r w:rsidR="00501D75" w:rsidRPr="00B92215">
        <w:rPr>
          <w:lang w:bidi="ar-SA"/>
        </w:rPr>
        <w:t>)</w:t>
      </w:r>
      <w:r w:rsidRPr="00B92215">
        <w:rPr>
          <w:lang w:bidi="ar-SA"/>
        </w:rPr>
        <w:t xml:space="preserve">. In this sample of healthy elderly adults, </w:t>
      </w:r>
      <w:r w:rsidR="00B92215" w:rsidRPr="00B92215">
        <w:rPr>
          <w:lang w:bidi="ar-SA"/>
        </w:rPr>
        <w:t xml:space="preserve">mostly without dyslipidaemia, </w:t>
      </w:r>
      <w:r w:rsidRPr="00B92215">
        <w:rPr>
          <w:lang w:bidi="ar-SA"/>
        </w:rPr>
        <w:t>t</w:t>
      </w:r>
      <w:r w:rsidRPr="00B92215">
        <w:rPr>
          <w:rFonts w:cs="Arial"/>
        </w:rPr>
        <w:t xml:space="preserve">hese findings suggest </w:t>
      </w:r>
      <w:r w:rsidR="00C92EF1">
        <w:rPr>
          <w:rFonts w:cs="Arial"/>
        </w:rPr>
        <w:t>GOS</w:t>
      </w:r>
      <w:r w:rsidRPr="00B92215">
        <w:rPr>
          <w:rFonts w:cs="Arial"/>
        </w:rPr>
        <w:t xml:space="preserve"> have no effect on blood cholesterol when consumed at a low </w:t>
      </w:r>
      <w:r w:rsidR="00BB6F18">
        <w:rPr>
          <w:rFonts w:cs="Arial"/>
        </w:rPr>
        <w:t>intake</w:t>
      </w:r>
      <w:r w:rsidRPr="00B92215">
        <w:rPr>
          <w:rFonts w:cs="Arial"/>
        </w:rPr>
        <w:t xml:space="preserve"> level (2.6 g/day) for 10 weeks.</w:t>
      </w:r>
    </w:p>
    <w:p w14:paraId="2BC6B811" w14:textId="77777777" w:rsidR="009E745B" w:rsidRDefault="009E745B" w:rsidP="009E745B">
      <w:pPr>
        <w:rPr>
          <w:highlight w:val="yellow"/>
          <w:lang w:bidi="ar-SA"/>
        </w:rPr>
      </w:pPr>
    </w:p>
    <w:p w14:paraId="01902119" w14:textId="2A9F301C" w:rsidR="009E745B" w:rsidRPr="00437460" w:rsidRDefault="009E745B" w:rsidP="009E745B">
      <w:pPr>
        <w:rPr>
          <w:rFonts w:cs="Arial"/>
          <w:color w:val="FF0000"/>
        </w:rPr>
      </w:pPr>
      <w:r w:rsidRPr="00437460">
        <w:rPr>
          <w:lang w:bidi="ar-SA"/>
        </w:rPr>
        <w:t>Vulevic et al. (2013) conducted a</w:t>
      </w:r>
      <w:r w:rsidRPr="00437460">
        <w:rPr>
          <w:rFonts w:cs="Arial"/>
          <w:szCs w:val="22"/>
          <w:lang w:bidi="ar-SA"/>
        </w:rPr>
        <w:t xml:space="preserve"> double-blind, randomised, placebo-controlled, crossover </w:t>
      </w:r>
      <w:r w:rsidRPr="00375447">
        <w:rPr>
          <w:rFonts w:cs="Arial"/>
          <w:szCs w:val="22"/>
          <w:lang w:bidi="ar-SA"/>
        </w:rPr>
        <w:t xml:space="preserve">study. Participants were overweight (&gt;25 </w:t>
      </w:r>
      <w:r w:rsidRPr="002078F5">
        <w:rPr>
          <w:rFonts w:cs="Arial"/>
          <w:szCs w:val="22"/>
          <w:lang w:bidi="ar-SA"/>
        </w:rPr>
        <w:t>kg/m</w:t>
      </w:r>
      <w:r w:rsidRPr="002078F5">
        <w:rPr>
          <w:rFonts w:cs="Arial"/>
          <w:szCs w:val="22"/>
          <w:vertAlign w:val="superscript"/>
          <w:lang w:bidi="ar-SA"/>
        </w:rPr>
        <w:t>2</w:t>
      </w:r>
      <w:r w:rsidRPr="002078F5">
        <w:rPr>
          <w:rFonts w:cs="Arial"/>
          <w:szCs w:val="22"/>
          <w:lang w:bidi="ar-SA"/>
        </w:rPr>
        <w:t>) males (</w:t>
      </w:r>
      <w:r w:rsidRPr="002078F5">
        <w:rPr>
          <w:rStyle w:val="Emphasis"/>
          <w:rFonts w:cs="Arial"/>
          <w:i w:val="0"/>
          <w:szCs w:val="22"/>
          <w:lang w:val="en"/>
        </w:rPr>
        <w:t>n</w:t>
      </w:r>
      <w:r w:rsidRPr="002078F5">
        <w:rPr>
          <w:rStyle w:val="Emphasis"/>
          <w:rFonts w:cs="Arial"/>
          <w:szCs w:val="22"/>
          <w:lang w:val="en"/>
        </w:rPr>
        <w:t>=</w:t>
      </w:r>
      <w:r w:rsidRPr="002078F5">
        <w:rPr>
          <w:rFonts w:cs="Arial"/>
          <w:szCs w:val="22"/>
          <w:lang w:val="en"/>
        </w:rPr>
        <w:t>16, age 42.8 ± 12.1 years</w:t>
      </w:r>
      <w:r w:rsidRPr="002078F5">
        <w:rPr>
          <w:rFonts w:cs="Arial"/>
          <w:szCs w:val="22"/>
          <w:lang w:bidi="ar-SA"/>
        </w:rPr>
        <w:t>) and females (</w:t>
      </w:r>
      <w:r w:rsidRPr="002078F5">
        <w:rPr>
          <w:rStyle w:val="Emphasis"/>
          <w:rFonts w:cs="Arial"/>
          <w:i w:val="0"/>
          <w:szCs w:val="22"/>
          <w:lang w:val="en"/>
        </w:rPr>
        <w:t>n</w:t>
      </w:r>
      <w:r w:rsidRPr="002078F5">
        <w:rPr>
          <w:rStyle w:val="Emphasis"/>
          <w:rFonts w:cs="Arial"/>
          <w:szCs w:val="22"/>
          <w:lang w:val="en"/>
        </w:rPr>
        <w:t>=</w:t>
      </w:r>
      <w:r w:rsidRPr="002078F5">
        <w:rPr>
          <w:rFonts w:cs="Arial"/>
          <w:szCs w:val="22"/>
          <w:lang w:val="en"/>
        </w:rPr>
        <w:t>29, age 46.4 ± 11.8 years</w:t>
      </w:r>
      <w:r w:rsidRPr="002078F5">
        <w:rPr>
          <w:rFonts w:cs="Arial"/>
          <w:szCs w:val="22"/>
          <w:lang w:bidi="ar-SA"/>
        </w:rPr>
        <w:t xml:space="preserve">) with </w:t>
      </w:r>
      <w:r w:rsidRPr="00437460">
        <w:rPr>
          <w:rFonts w:cs="Arial"/>
          <w:szCs w:val="22"/>
          <w:lang w:bidi="ar-SA"/>
        </w:rPr>
        <w:t xml:space="preserve">≥3 risk factors associated with metabolic </w:t>
      </w:r>
      <w:r w:rsidRPr="00F05681">
        <w:rPr>
          <w:rFonts w:cs="Arial"/>
          <w:szCs w:val="22"/>
          <w:lang w:bidi="ar-SA"/>
        </w:rPr>
        <w:t>syndrome. Extensive inclusion and exclusion criteria were used beyond this</w:t>
      </w:r>
      <w:r w:rsidR="00F05681" w:rsidRPr="00F05681">
        <w:rPr>
          <w:rFonts w:cs="Arial"/>
          <w:szCs w:val="22"/>
          <w:lang w:bidi="ar-SA"/>
        </w:rPr>
        <w:t>. Some criteria is listed in</w:t>
      </w:r>
      <w:r w:rsidRPr="00F05681">
        <w:rPr>
          <w:rFonts w:cs="Arial"/>
          <w:szCs w:val="22"/>
          <w:lang w:bidi="ar-SA"/>
        </w:rPr>
        <w:t xml:space="preserve"> Section 1.3.1.</w:t>
      </w:r>
      <w:r w:rsidR="00F05681" w:rsidRPr="00F05681">
        <w:rPr>
          <w:rFonts w:cs="Arial"/>
          <w:szCs w:val="22"/>
          <w:lang w:bidi="ar-SA"/>
        </w:rPr>
        <w:t xml:space="preserve"> Additional </w:t>
      </w:r>
      <w:r w:rsidR="00F05681">
        <w:rPr>
          <w:rFonts w:cs="Arial"/>
          <w:szCs w:val="22"/>
          <w:lang w:bidi="ar-SA"/>
        </w:rPr>
        <w:t xml:space="preserve">criteria excluded participants: with renal or bowel disease or gastrointestinal disorders; </w:t>
      </w:r>
      <w:r w:rsidR="00690CF8">
        <w:rPr>
          <w:rFonts w:cs="Arial"/>
          <w:szCs w:val="22"/>
          <w:lang w:bidi="ar-SA"/>
        </w:rPr>
        <w:t>taking</w:t>
      </w:r>
      <w:r w:rsidR="00F05681">
        <w:rPr>
          <w:rFonts w:cs="Arial"/>
          <w:szCs w:val="22"/>
          <w:lang w:bidi="ar-SA"/>
        </w:rPr>
        <w:t xml:space="preserve"> drugs that affect intestinal motility or absorption</w:t>
      </w:r>
      <w:r w:rsidR="00690CF8">
        <w:rPr>
          <w:rFonts w:cs="Arial"/>
          <w:szCs w:val="22"/>
          <w:lang w:bidi="ar-SA"/>
        </w:rPr>
        <w:t>, antibiotics in the one month prior to study commencement, dietary antioxidants or phytochemicals, prebiotic or probiotic supplements; who were pregnant or lactating; and, were anaemic (haemoglobin: men &gt;140 g/L, women &gt;115 g/L).</w:t>
      </w:r>
      <w:r w:rsidRPr="00375447">
        <w:rPr>
          <w:rFonts w:cs="Arial"/>
          <w:szCs w:val="22"/>
          <w:lang w:bidi="ar-SA"/>
        </w:rPr>
        <w:t xml:space="preserve"> Two 12-week conditions were tested, a placebo </w:t>
      </w:r>
      <w:r w:rsidR="00437460" w:rsidRPr="00437460">
        <w:rPr>
          <w:rFonts w:cs="Arial"/>
          <w:szCs w:val="22"/>
          <w:lang w:bidi="ar-SA"/>
        </w:rPr>
        <w:t xml:space="preserve">(maltodextrin) </w:t>
      </w:r>
      <w:r w:rsidRPr="00437460">
        <w:rPr>
          <w:rFonts w:cs="Arial"/>
          <w:szCs w:val="22"/>
          <w:lang w:bidi="ar-SA"/>
        </w:rPr>
        <w:t xml:space="preserve">and </w:t>
      </w:r>
      <w:r w:rsidR="00C92EF1">
        <w:rPr>
          <w:rFonts w:cs="Arial"/>
        </w:rPr>
        <w:t>GOS</w:t>
      </w:r>
      <w:r w:rsidRPr="00437460">
        <w:rPr>
          <w:rFonts w:cs="Arial"/>
        </w:rPr>
        <w:t xml:space="preserve"> condition, with a 4</w:t>
      </w:r>
      <w:r w:rsidRPr="00437460">
        <w:rPr>
          <w:rFonts w:cs="Arial"/>
          <w:szCs w:val="22"/>
          <w:lang w:bidi="ar-SA"/>
        </w:rPr>
        <w:t xml:space="preserve">-week washout period between conditions. </w:t>
      </w:r>
      <w:r w:rsidRPr="00E64162">
        <w:rPr>
          <w:lang w:bidi="ar-SA"/>
        </w:rPr>
        <w:t xml:space="preserve">During the 12-week </w:t>
      </w:r>
      <w:r w:rsidR="00C92EF1">
        <w:rPr>
          <w:rFonts w:cs="Arial"/>
        </w:rPr>
        <w:t>GOS</w:t>
      </w:r>
      <w:r w:rsidRPr="00E64162">
        <w:rPr>
          <w:rFonts w:cs="Arial"/>
        </w:rPr>
        <w:t xml:space="preserve"> condition, participants consumed 2.6 g of </w:t>
      </w:r>
      <w:r w:rsidR="00C92EF1">
        <w:rPr>
          <w:rFonts w:cs="Arial"/>
        </w:rPr>
        <w:t>GOS</w:t>
      </w:r>
      <w:r w:rsidRPr="00E64162">
        <w:rPr>
          <w:rFonts w:cs="Arial"/>
        </w:rPr>
        <w:t xml:space="preserve"> daily (for consumption </w:t>
      </w:r>
      <w:r w:rsidRPr="008B51A4">
        <w:rPr>
          <w:rFonts w:cs="Arial"/>
        </w:rPr>
        <w:t>instructions, structure and form</w:t>
      </w:r>
      <w:r w:rsidR="008A21FD">
        <w:rPr>
          <w:rFonts w:cs="Arial"/>
        </w:rPr>
        <w:t xml:space="preserve">, see </w:t>
      </w:r>
      <w:r w:rsidR="008A21FD">
        <w:rPr>
          <w:rFonts w:cs="Arial"/>
          <w:szCs w:val="22"/>
        </w:rPr>
        <w:t>Table 7, Appendix Section 2.5</w:t>
      </w:r>
      <w:r w:rsidRPr="008B51A4">
        <w:rPr>
          <w:rFonts w:cs="Arial"/>
        </w:rPr>
        <w:t>).</w:t>
      </w:r>
      <w:r w:rsidRPr="008B51A4">
        <w:rPr>
          <w:lang w:bidi="ar-SA"/>
        </w:rPr>
        <w:t xml:space="preserve"> </w:t>
      </w:r>
      <w:r w:rsidRPr="008B51A4">
        <w:rPr>
          <w:rFonts w:cs="Arial"/>
          <w:szCs w:val="22"/>
          <w:lang w:bidi="ar-SA"/>
        </w:rPr>
        <w:t>The authors report</w:t>
      </w:r>
      <w:r w:rsidR="00604E8E">
        <w:rPr>
          <w:rFonts w:cs="Arial"/>
          <w:szCs w:val="22"/>
          <w:lang w:bidi="ar-SA"/>
        </w:rPr>
        <w:t>ed</w:t>
      </w:r>
      <w:r w:rsidRPr="008B51A4">
        <w:rPr>
          <w:rFonts w:cs="Arial"/>
          <w:szCs w:val="22"/>
          <w:lang w:bidi="ar-SA"/>
        </w:rPr>
        <w:t xml:space="preserve"> that participants’ body weight, energy intake and percentage contribution of macronutrients to total energy was stable throughout the study.</w:t>
      </w:r>
      <w:r w:rsidRPr="008B51A4">
        <w:rPr>
          <w:lang w:bidi="ar-SA"/>
        </w:rPr>
        <w:t xml:space="preserve"> Outcomes included total cholesterol, triglycerides, LDL- and HDL-cholesterol, and total cholesterol:HDL-cholesterol, measured at three time points during each condition: week 1, 6, and 12. Participants’ baseline lipids indicate</w:t>
      </w:r>
      <w:r w:rsidR="00604E8E">
        <w:rPr>
          <w:lang w:bidi="ar-SA"/>
        </w:rPr>
        <w:t>d</w:t>
      </w:r>
      <w:r w:rsidRPr="008B51A4">
        <w:rPr>
          <w:lang w:bidi="ar-SA"/>
        </w:rPr>
        <w:t xml:space="preserve"> some dyslipidaemia: </w:t>
      </w:r>
      <w:r w:rsidRPr="008B51A4">
        <w:rPr>
          <w:rFonts w:cs="Arial"/>
          <w:szCs w:val="22"/>
          <w:lang w:bidi="ar-SA"/>
        </w:rPr>
        <w:t>93% had total cholesterol</w:t>
      </w:r>
      <w:r w:rsidRPr="008B51A4">
        <w:t xml:space="preserve"> </w:t>
      </w:r>
      <w:r w:rsidRPr="008B51A4">
        <w:rPr>
          <w:rFonts w:cs="Arial"/>
          <w:szCs w:val="22"/>
          <w:lang w:bidi="ar-SA"/>
        </w:rPr>
        <w:t xml:space="preserve">concentrations &gt;5.0 mmol/L; 76% had HDL-cholesterol &lt;1.03 mmol/L in men and </w:t>
      </w:r>
      <w:r w:rsidRPr="002078F5">
        <w:rPr>
          <w:rFonts w:cs="Arial"/>
          <w:szCs w:val="22"/>
          <w:lang w:bidi="ar-SA"/>
        </w:rPr>
        <w:t xml:space="preserve">&lt;1.29 mmol/L in women; and, 40% had plasma triglyceride concentrations &gt;1.7 mmol/L. </w:t>
      </w:r>
      <w:r w:rsidRPr="002078F5">
        <w:rPr>
          <w:szCs w:val="22"/>
          <w:lang w:bidi="ar-SA"/>
        </w:rPr>
        <w:t>None of the five plasma lipid outcomes differed between the two conditions at baseline</w:t>
      </w:r>
      <w:r w:rsidRPr="008B51A4">
        <w:rPr>
          <w:szCs w:val="22"/>
          <w:lang w:bidi="ar-SA"/>
        </w:rPr>
        <w:t xml:space="preserve">. At week 12, three out of five outcomes were lower in the </w:t>
      </w:r>
      <w:r w:rsidR="00C92EF1">
        <w:rPr>
          <w:rFonts w:cs="Arial"/>
          <w:szCs w:val="22"/>
        </w:rPr>
        <w:t>GOS</w:t>
      </w:r>
      <w:r w:rsidRPr="008B51A4">
        <w:rPr>
          <w:rFonts w:cs="Arial"/>
          <w:szCs w:val="22"/>
        </w:rPr>
        <w:t xml:space="preserve"> condition</w:t>
      </w:r>
      <w:r w:rsidR="00F82624">
        <w:rPr>
          <w:rFonts w:cs="Arial"/>
          <w:szCs w:val="22"/>
        </w:rPr>
        <w:t xml:space="preserve"> (</w:t>
      </w:r>
      <w:r w:rsidR="00F82624" w:rsidRPr="00F82624">
        <w:rPr>
          <w:lang w:bidi="ar-SA"/>
        </w:rPr>
        <w:t xml:space="preserve">exact </w:t>
      </w:r>
      <w:r w:rsidR="00F82624" w:rsidRPr="00F82624">
        <w:rPr>
          <w:i/>
          <w:lang w:bidi="ar-SA"/>
        </w:rPr>
        <w:t>P</w:t>
      </w:r>
      <w:r w:rsidR="00F82624" w:rsidRPr="00F82624">
        <w:rPr>
          <w:lang w:bidi="ar-SA"/>
        </w:rPr>
        <w:t xml:space="preserve"> value</w:t>
      </w:r>
      <w:r w:rsidR="00F82624">
        <w:rPr>
          <w:lang w:bidi="ar-SA"/>
        </w:rPr>
        <w:t>s are</w:t>
      </w:r>
      <w:r w:rsidR="00F82624" w:rsidRPr="00F82624">
        <w:rPr>
          <w:lang w:bidi="ar-SA"/>
        </w:rPr>
        <w:t xml:space="preserve"> not stated</w:t>
      </w:r>
      <w:r w:rsidR="00F82624">
        <w:rPr>
          <w:lang w:bidi="ar-SA"/>
        </w:rPr>
        <w:t xml:space="preserve"> for any</w:t>
      </w:r>
      <w:r w:rsidR="00F82624">
        <w:rPr>
          <w:rFonts w:cs="Arial"/>
          <w:szCs w:val="22"/>
        </w:rPr>
        <w:t>)</w:t>
      </w:r>
      <w:r w:rsidRPr="008B51A4">
        <w:rPr>
          <w:szCs w:val="22"/>
          <w:lang w:bidi="ar-SA"/>
        </w:rPr>
        <w:t>: total cholesterol (</w:t>
      </w:r>
      <w:r w:rsidRPr="008B51A4">
        <w:rPr>
          <w:i/>
          <w:szCs w:val="22"/>
          <w:lang w:bidi="ar-SA"/>
        </w:rPr>
        <w:t>P</w:t>
      </w:r>
      <w:r w:rsidRPr="008B51A4">
        <w:rPr>
          <w:szCs w:val="22"/>
          <w:lang w:bidi="ar-SA"/>
        </w:rPr>
        <w:t>&lt;0.001</w:t>
      </w:r>
      <w:r w:rsidRPr="008B51A4">
        <w:rPr>
          <w:rStyle w:val="FootnoteReference"/>
          <w:szCs w:val="22"/>
          <w:lang w:bidi="ar-SA"/>
        </w:rPr>
        <w:footnoteReference w:id="3"/>
      </w:r>
      <w:r w:rsidRPr="008B51A4">
        <w:rPr>
          <w:szCs w:val="22"/>
          <w:lang w:bidi="ar-SA"/>
        </w:rPr>
        <w:t>); triglycerides (</w:t>
      </w:r>
      <w:r w:rsidRPr="008B51A4">
        <w:rPr>
          <w:i/>
          <w:szCs w:val="22"/>
          <w:lang w:bidi="ar-SA"/>
        </w:rPr>
        <w:t>P</w:t>
      </w:r>
      <w:r w:rsidRPr="008B51A4">
        <w:rPr>
          <w:szCs w:val="22"/>
          <w:lang w:bidi="ar-SA"/>
        </w:rPr>
        <w:t>&lt;0.005</w:t>
      </w:r>
      <w:r w:rsidRPr="008B51A4">
        <w:rPr>
          <w:rStyle w:val="FootnoteReference"/>
          <w:szCs w:val="22"/>
          <w:lang w:bidi="ar-SA"/>
        </w:rPr>
        <w:footnoteReference w:id="4"/>
      </w:r>
      <w:r w:rsidRPr="008B51A4">
        <w:rPr>
          <w:szCs w:val="22"/>
          <w:lang w:bidi="ar-SA"/>
        </w:rPr>
        <w:t>); and, total cholesterol:HDL-cholesterol (</w:t>
      </w:r>
      <w:r w:rsidRPr="008B51A4">
        <w:rPr>
          <w:i/>
          <w:szCs w:val="22"/>
          <w:lang w:bidi="ar-SA"/>
        </w:rPr>
        <w:t>P</w:t>
      </w:r>
      <w:r w:rsidRPr="008B51A4">
        <w:rPr>
          <w:szCs w:val="22"/>
          <w:lang w:bidi="ar-SA"/>
        </w:rPr>
        <w:t xml:space="preserve">&lt;0.0001). </w:t>
      </w:r>
      <w:r w:rsidRPr="008B51A4">
        <w:rPr>
          <w:szCs w:val="22"/>
        </w:rPr>
        <w:t>For</w:t>
      </w:r>
      <w:r w:rsidRPr="008B51A4">
        <w:rPr>
          <w:i/>
          <w:szCs w:val="22"/>
        </w:rPr>
        <w:t xml:space="preserve"> </w:t>
      </w:r>
      <w:r w:rsidRPr="008B51A4">
        <w:rPr>
          <w:szCs w:val="22"/>
        </w:rPr>
        <w:t xml:space="preserve">Vulevic et al. (2013), </w:t>
      </w:r>
      <w:r w:rsidRPr="008B51A4">
        <w:rPr>
          <w:i/>
          <w:szCs w:val="22"/>
          <w:lang w:val="en-AU"/>
        </w:rPr>
        <w:t xml:space="preserve">P </w:t>
      </w:r>
      <w:r w:rsidRPr="008B51A4">
        <w:rPr>
          <w:szCs w:val="22"/>
          <w:lang w:val="en-AU"/>
        </w:rPr>
        <w:t xml:space="preserve">values were corrected for multiple testing and significance was set at </w:t>
      </w:r>
      <w:r w:rsidRPr="008B51A4">
        <w:rPr>
          <w:i/>
          <w:szCs w:val="22"/>
          <w:lang w:val="en-AU"/>
        </w:rPr>
        <w:t>P</w:t>
      </w:r>
      <w:r w:rsidRPr="008B51A4">
        <w:rPr>
          <w:szCs w:val="22"/>
          <w:lang w:val="en-AU"/>
        </w:rPr>
        <w:t>&lt;0.005 after Bonferroni adjustme</w:t>
      </w:r>
      <w:r w:rsidRPr="00A8515B">
        <w:rPr>
          <w:szCs w:val="22"/>
          <w:lang w:val="en-AU"/>
        </w:rPr>
        <w:t xml:space="preserve">nt. </w:t>
      </w:r>
      <w:r w:rsidR="008B51A4" w:rsidRPr="00A8515B">
        <w:rPr>
          <w:szCs w:val="22"/>
          <w:lang w:val="en-AU"/>
        </w:rPr>
        <w:t xml:space="preserve">Given the small size of the differences and differing </w:t>
      </w:r>
      <w:r w:rsidR="008B51A4" w:rsidRPr="00A8515B">
        <w:rPr>
          <w:i/>
          <w:szCs w:val="22"/>
          <w:lang w:val="en-AU"/>
        </w:rPr>
        <w:t>P</w:t>
      </w:r>
      <w:r w:rsidR="008B51A4" w:rsidRPr="00A8515B">
        <w:rPr>
          <w:szCs w:val="22"/>
          <w:lang w:val="en-AU"/>
        </w:rPr>
        <w:t xml:space="preserve"> values, </w:t>
      </w:r>
      <w:r w:rsidR="00A8515B" w:rsidRPr="00A8515B">
        <w:rPr>
          <w:szCs w:val="22"/>
          <w:lang w:val="en-AU"/>
        </w:rPr>
        <w:t xml:space="preserve">and other reasons provided in Section 1.3.1, </w:t>
      </w:r>
      <w:r w:rsidR="008B51A4" w:rsidRPr="00A8515B">
        <w:rPr>
          <w:szCs w:val="22"/>
          <w:lang w:val="en-AU"/>
        </w:rPr>
        <w:t>w</w:t>
      </w:r>
      <w:r w:rsidRPr="00A8515B">
        <w:rPr>
          <w:szCs w:val="22"/>
          <w:lang w:val="en-AU"/>
        </w:rPr>
        <w:t>e</w:t>
      </w:r>
      <w:r w:rsidRPr="00A8515B">
        <w:rPr>
          <w:lang w:bidi="ar-SA"/>
        </w:rPr>
        <w:t xml:space="preserve"> </w:t>
      </w:r>
      <w:r w:rsidR="008B51A4" w:rsidRPr="00A8515B">
        <w:rPr>
          <w:lang w:bidi="ar-SA"/>
        </w:rPr>
        <w:t xml:space="preserve">sought </w:t>
      </w:r>
      <w:r w:rsidR="008B51A4" w:rsidRPr="001E02AA">
        <w:rPr>
          <w:lang w:bidi="ar-SA"/>
        </w:rPr>
        <w:t xml:space="preserve">clarification from the corresponding author on some </w:t>
      </w:r>
      <w:r w:rsidRPr="001E02AA">
        <w:rPr>
          <w:lang w:bidi="ar-SA"/>
        </w:rPr>
        <w:t>of the</w:t>
      </w:r>
      <w:r w:rsidR="008B51A4" w:rsidRPr="001E02AA">
        <w:rPr>
          <w:lang w:bidi="ar-SA"/>
        </w:rPr>
        <w:t>se</w:t>
      </w:r>
      <w:r w:rsidRPr="001E02AA">
        <w:rPr>
          <w:lang w:bidi="ar-SA"/>
        </w:rPr>
        <w:t xml:space="preserve"> </w:t>
      </w:r>
      <w:r w:rsidR="008B51A4" w:rsidRPr="001E02AA">
        <w:rPr>
          <w:lang w:bidi="ar-SA"/>
        </w:rPr>
        <w:t xml:space="preserve">statistically different </w:t>
      </w:r>
      <w:r w:rsidRPr="001E02AA">
        <w:rPr>
          <w:lang w:bidi="ar-SA"/>
        </w:rPr>
        <w:t>result</w:t>
      </w:r>
      <w:r w:rsidR="00A8515B" w:rsidRPr="001E02AA">
        <w:rPr>
          <w:lang w:bidi="ar-SA"/>
        </w:rPr>
        <w:t>s</w:t>
      </w:r>
      <w:r w:rsidRPr="001E02AA">
        <w:rPr>
          <w:lang w:bidi="ar-SA"/>
        </w:rPr>
        <w:t xml:space="preserve"> </w:t>
      </w:r>
      <w:r w:rsidR="008B51A4" w:rsidRPr="001E02AA">
        <w:rPr>
          <w:szCs w:val="22"/>
          <w:lang w:val="en-AU"/>
        </w:rPr>
        <w:t xml:space="preserve">but did </w:t>
      </w:r>
      <w:r w:rsidR="00A8515B" w:rsidRPr="001E02AA">
        <w:rPr>
          <w:szCs w:val="22"/>
          <w:lang w:val="en-AU"/>
        </w:rPr>
        <w:t xml:space="preserve">not </w:t>
      </w:r>
      <w:r w:rsidR="008B51A4" w:rsidRPr="001E02AA">
        <w:rPr>
          <w:szCs w:val="22"/>
          <w:lang w:val="en-AU"/>
        </w:rPr>
        <w:t>receive a response</w:t>
      </w:r>
      <w:r w:rsidRPr="001E02AA">
        <w:rPr>
          <w:szCs w:val="22"/>
          <w:lang w:val="en-AU"/>
        </w:rPr>
        <w:t>.</w:t>
      </w:r>
      <w:r w:rsidRPr="001E02AA">
        <w:rPr>
          <w:szCs w:val="22"/>
          <w:lang w:bidi="ar-SA"/>
        </w:rPr>
        <w:t xml:space="preserve"> </w:t>
      </w:r>
      <w:r w:rsidRPr="001E02AA">
        <w:rPr>
          <w:rFonts w:cs="Arial"/>
        </w:rPr>
        <w:t xml:space="preserve">In a sample comprising of adults with three or more metabolic risk factors, </w:t>
      </w:r>
      <w:r w:rsidRPr="001E02AA">
        <w:rPr>
          <w:lang w:bidi="ar-SA"/>
        </w:rPr>
        <w:t>Vulevic et al. (2013</w:t>
      </w:r>
      <w:r w:rsidRPr="001E02AA">
        <w:rPr>
          <w:rFonts w:cs="Arial"/>
        </w:rPr>
        <w:t>) provide</w:t>
      </w:r>
      <w:r w:rsidR="00604E8E">
        <w:rPr>
          <w:rFonts w:cs="Arial"/>
        </w:rPr>
        <w:t>d</w:t>
      </w:r>
      <w:r w:rsidRPr="001E02AA">
        <w:rPr>
          <w:rFonts w:cs="Arial"/>
        </w:rPr>
        <w:t xml:space="preserve"> inconsistent findings when </w:t>
      </w:r>
      <w:r w:rsidR="00C92EF1">
        <w:rPr>
          <w:rFonts w:cs="Arial"/>
        </w:rPr>
        <w:t>GOS</w:t>
      </w:r>
      <w:r w:rsidR="00BB6F18">
        <w:rPr>
          <w:rFonts w:cs="Arial"/>
        </w:rPr>
        <w:t xml:space="preserve"> are consumed at a low intak</w:t>
      </w:r>
      <w:r w:rsidRPr="001E02AA">
        <w:rPr>
          <w:rFonts w:cs="Arial"/>
        </w:rPr>
        <w:t>e (2.6 g/day) for 12 weeks, however, the reporting and generalisability of the findings are uncertain (see Section 1.3.1).</w:t>
      </w:r>
    </w:p>
    <w:p w14:paraId="1152630C" w14:textId="77777777" w:rsidR="009E745B" w:rsidRDefault="009E745B" w:rsidP="009E745B">
      <w:pPr>
        <w:rPr>
          <w:highlight w:val="yellow"/>
          <w:lang w:bidi="ar-SA"/>
        </w:rPr>
      </w:pPr>
    </w:p>
    <w:p w14:paraId="20AE8839" w14:textId="6CF2FCBA" w:rsidR="009E745B" w:rsidRPr="00406D9C" w:rsidRDefault="009E745B" w:rsidP="009E745B">
      <w:pPr>
        <w:rPr>
          <w:rFonts w:cs="Arial"/>
          <w:color w:val="FF0000"/>
          <w:szCs w:val="22"/>
        </w:rPr>
      </w:pPr>
      <w:r w:rsidRPr="00770849">
        <w:rPr>
          <w:lang w:bidi="ar-SA"/>
        </w:rPr>
        <w:t>Pede</w:t>
      </w:r>
      <w:r w:rsidRPr="007D1999">
        <w:rPr>
          <w:lang w:bidi="ar-SA"/>
        </w:rPr>
        <w:t>rsen et al. (2016) conducted a</w:t>
      </w:r>
      <w:r w:rsidRPr="007D1999">
        <w:rPr>
          <w:rFonts w:cs="Arial"/>
          <w:szCs w:val="22"/>
          <w:lang w:bidi="ar-SA"/>
        </w:rPr>
        <w:t xml:space="preserve"> randomised, double-blind, placebo-controlled, parallel study. Participants (n=32) were males with well-controlled type 2 diabetes mellitus, aged 42-65 years</w:t>
      </w:r>
      <w:r w:rsidRPr="00456563">
        <w:rPr>
          <w:rFonts w:cs="Arial"/>
          <w:szCs w:val="22"/>
          <w:lang w:bidi="ar-SA"/>
        </w:rPr>
        <w:t xml:space="preserve">. </w:t>
      </w:r>
      <w:r w:rsidR="00456563">
        <w:rPr>
          <w:rFonts w:cs="Arial"/>
          <w:szCs w:val="22"/>
          <w:lang w:bidi="ar-SA"/>
        </w:rPr>
        <w:t xml:space="preserve">The exclusion criteria were: use of antibiotics in the prior three months; use of anti-inflammatory medications (except a low-dose aspirin), diuretics, </w:t>
      </w:r>
      <w:r w:rsidR="00F2125B">
        <w:rPr>
          <w:rFonts w:cs="Arial"/>
          <w:szCs w:val="22"/>
          <w:lang w:bidi="ar-SA"/>
        </w:rPr>
        <w:t xml:space="preserve">and </w:t>
      </w:r>
      <w:r w:rsidR="00456563">
        <w:rPr>
          <w:rFonts w:cs="Arial"/>
          <w:szCs w:val="22"/>
          <w:lang w:bidi="ar-SA"/>
        </w:rPr>
        <w:t>proton-pump inhibitors;</w:t>
      </w:r>
      <w:r w:rsidR="00B63D98">
        <w:rPr>
          <w:rFonts w:cs="Arial"/>
          <w:szCs w:val="22"/>
          <w:lang w:bidi="ar-SA"/>
        </w:rPr>
        <w:t xml:space="preserve"> and</w:t>
      </w:r>
      <w:r w:rsidR="00456563">
        <w:rPr>
          <w:rFonts w:cs="Arial"/>
          <w:szCs w:val="22"/>
          <w:lang w:bidi="ar-SA"/>
        </w:rPr>
        <w:t xml:space="preserve">, inflammatory bowel disease, Crohn’s disease, coeliac disease, and irritable bowel disease. </w:t>
      </w:r>
      <w:r w:rsidRPr="00456563">
        <w:rPr>
          <w:rFonts w:cs="Arial"/>
          <w:szCs w:val="22"/>
          <w:lang w:bidi="ar-SA"/>
        </w:rPr>
        <w:t>Three withdrew and/or were excluded from data analysis due to gastrointestinal upset (n=1) and antibiotic treatment (n=2), therefore</w:t>
      </w:r>
      <w:r w:rsidRPr="00770849">
        <w:rPr>
          <w:rFonts w:cs="Arial"/>
          <w:szCs w:val="22"/>
          <w:lang w:bidi="ar-SA"/>
        </w:rPr>
        <w:t>,</w:t>
      </w:r>
      <w:r w:rsidR="00604E8E">
        <w:rPr>
          <w:rFonts w:cs="Arial"/>
          <w:szCs w:val="22"/>
          <w:lang w:bidi="ar-SA"/>
        </w:rPr>
        <w:t xml:space="preserve"> </w:t>
      </w:r>
      <w:r w:rsidR="00604E8E">
        <w:rPr>
          <w:rFonts w:cs="Arial"/>
          <w:szCs w:val="22"/>
          <w:lang w:bidi="ar-SA"/>
        </w:rPr>
        <w:lastRenderedPageBreak/>
        <w:t>the</w:t>
      </w:r>
      <w:r w:rsidRPr="00770849">
        <w:rPr>
          <w:rFonts w:cs="Arial"/>
          <w:szCs w:val="22"/>
          <w:lang w:bidi="ar-SA"/>
        </w:rPr>
        <w:t xml:space="preserve"> data represent</w:t>
      </w:r>
      <w:r w:rsidR="00604E8E">
        <w:rPr>
          <w:rFonts w:cs="Arial"/>
          <w:szCs w:val="22"/>
          <w:lang w:bidi="ar-SA"/>
        </w:rPr>
        <w:t>ed</w:t>
      </w:r>
      <w:r w:rsidRPr="00770849">
        <w:rPr>
          <w:rFonts w:cs="Arial"/>
          <w:szCs w:val="22"/>
          <w:lang w:bidi="ar-SA"/>
        </w:rPr>
        <w:t xml:space="preserve"> n=29. </w:t>
      </w:r>
      <w:r w:rsidRPr="007D1999">
        <w:rPr>
          <w:rFonts w:cs="Arial"/>
          <w:szCs w:val="22"/>
          <w:lang w:bidi="ar-SA"/>
        </w:rPr>
        <w:t xml:space="preserve">Two 12-week conditions </w:t>
      </w:r>
      <w:r w:rsidRPr="00F2125B">
        <w:rPr>
          <w:rFonts w:cs="Arial"/>
          <w:szCs w:val="22"/>
          <w:lang w:bidi="ar-SA"/>
        </w:rPr>
        <w:t>were tested</w:t>
      </w:r>
      <w:r w:rsidR="00604E8E">
        <w:rPr>
          <w:rFonts w:cs="Arial"/>
          <w:szCs w:val="22"/>
          <w:lang w:bidi="ar-SA"/>
        </w:rPr>
        <w:t>:</w:t>
      </w:r>
      <w:r w:rsidRPr="00F2125B">
        <w:rPr>
          <w:rFonts w:cs="Arial"/>
          <w:szCs w:val="22"/>
          <w:lang w:bidi="ar-SA"/>
        </w:rPr>
        <w:t xml:space="preserve"> a placebo (maltodextrin) and </w:t>
      </w:r>
      <w:r w:rsidR="00C92EF1">
        <w:rPr>
          <w:rFonts w:cs="Arial"/>
        </w:rPr>
        <w:t>GOS</w:t>
      </w:r>
      <w:r w:rsidRPr="00F2125B">
        <w:rPr>
          <w:rFonts w:cs="Arial"/>
        </w:rPr>
        <w:t xml:space="preserve"> condition.</w:t>
      </w:r>
      <w:r w:rsidRPr="00F2125B">
        <w:rPr>
          <w:lang w:bidi="ar-SA"/>
        </w:rPr>
        <w:t xml:space="preserve"> During the 12-week </w:t>
      </w:r>
      <w:r w:rsidR="00C92EF1">
        <w:rPr>
          <w:rFonts w:cs="Arial"/>
        </w:rPr>
        <w:t>GOS</w:t>
      </w:r>
      <w:r w:rsidRPr="00F2125B">
        <w:rPr>
          <w:rFonts w:cs="Arial"/>
        </w:rPr>
        <w:t xml:space="preserve"> condition, participants consumed 2.6 g of </w:t>
      </w:r>
      <w:r w:rsidR="00C92EF1">
        <w:rPr>
          <w:rFonts w:cs="Arial"/>
        </w:rPr>
        <w:t>GOS</w:t>
      </w:r>
      <w:r w:rsidRPr="00F2125B">
        <w:rPr>
          <w:rFonts w:cs="Arial"/>
        </w:rPr>
        <w:t xml:space="preserve"> daily (for consumption instructions, structure and form</w:t>
      </w:r>
      <w:r w:rsidR="008A21FD">
        <w:rPr>
          <w:rFonts w:cs="Arial"/>
        </w:rPr>
        <w:t xml:space="preserve">, see </w:t>
      </w:r>
      <w:r w:rsidR="008A21FD">
        <w:rPr>
          <w:rFonts w:cs="Arial"/>
          <w:szCs w:val="22"/>
        </w:rPr>
        <w:t>Table 7, Appendix Section 2.5</w:t>
      </w:r>
      <w:r w:rsidRPr="00F2125B">
        <w:rPr>
          <w:rFonts w:cs="Arial"/>
        </w:rPr>
        <w:t>).</w:t>
      </w:r>
      <w:r w:rsidRPr="00F2125B">
        <w:rPr>
          <w:rFonts w:cs="Arial"/>
          <w:szCs w:val="22"/>
          <w:lang w:bidi="ar-SA"/>
        </w:rPr>
        <w:t xml:space="preserve"> Participants </w:t>
      </w:r>
      <w:r w:rsidRPr="007D1999">
        <w:rPr>
          <w:rFonts w:cs="Arial"/>
          <w:szCs w:val="22"/>
          <w:lang w:bidi="ar-SA"/>
        </w:rPr>
        <w:t>were asked not to change their lifestyle during the study</w:t>
      </w:r>
      <w:r w:rsidR="007D1999">
        <w:rPr>
          <w:rFonts w:cs="Arial"/>
          <w:szCs w:val="22"/>
          <w:lang w:bidi="ar-SA"/>
        </w:rPr>
        <w:t xml:space="preserve">. </w:t>
      </w:r>
      <w:r w:rsidR="007D1999" w:rsidRPr="007D1999">
        <w:rPr>
          <w:rFonts w:cs="Arial"/>
          <w:szCs w:val="22"/>
          <w:lang w:bidi="ar-SA"/>
        </w:rPr>
        <w:t>Participants were asked</w:t>
      </w:r>
      <w:r w:rsidR="007D1999">
        <w:rPr>
          <w:rFonts w:cs="Arial"/>
          <w:szCs w:val="22"/>
          <w:lang w:bidi="ar-SA"/>
        </w:rPr>
        <w:t xml:space="preserve"> to exclude probiotic products</w:t>
      </w:r>
      <w:r w:rsidR="007D1999" w:rsidRPr="00746E6D">
        <w:rPr>
          <w:rFonts w:cs="Arial"/>
          <w:szCs w:val="22"/>
          <w:lang w:bidi="ar-SA"/>
        </w:rPr>
        <w:t xml:space="preserve"> and prebiotic supplements (</w:t>
      </w:r>
      <w:r w:rsidR="004E15CE" w:rsidRPr="00746E6D">
        <w:rPr>
          <w:rFonts w:cs="Arial"/>
          <w:szCs w:val="22"/>
          <w:lang w:bidi="ar-SA"/>
        </w:rPr>
        <w:t>beyond</w:t>
      </w:r>
      <w:r w:rsidR="007D1999" w:rsidRPr="00746E6D">
        <w:rPr>
          <w:rFonts w:cs="Arial"/>
          <w:szCs w:val="22"/>
          <w:lang w:bidi="ar-SA"/>
        </w:rPr>
        <w:t xml:space="preserve"> the study supplement) for the two weeks prior to</w:t>
      </w:r>
      <w:r w:rsidR="004E15CE" w:rsidRPr="00746E6D">
        <w:rPr>
          <w:rFonts w:cs="Arial"/>
          <w:szCs w:val="22"/>
          <w:lang w:bidi="ar-SA"/>
        </w:rPr>
        <w:t>,</w:t>
      </w:r>
      <w:r w:rsidR="007D1999" w:rsidRPr="00746E6D">
        <w:rPr>
          <w:rFonts w:cs="Arial"/>
          <w:szCs w:val="22"/>
          <w:lang w:bidi="ar-SA"/>
        </w:rPr>
        <w:t xml:space="preserve"> and during</w:t>
      </w:r>
      <w:r w:rsidR="004E15CE" w:rsidRPr="00746E6D">
        <w:rPr>
          <w:rFonts w:cs="Arial"/>
          <w:szCs w:val="22"/>
          <w:lang w:bidi="ar-SA"/>
        </w:rPr>
        <w:t>,</w:t>
      </w:r>
      <w:r w:rsidR="007D1999" w:rsidRPr="00746E6D">
        <w:rPr>
          <w:rFonts w:cs="Arial"/>
          <w:szCs w:val="22"/>
          <w:lang w:bidi="ar-SA"/>
        </w:rPr>
        <w:t xml:space="preserve"> the study</w:t>
      </w:r>
      <w:r w:rsidRPr="00746E6D">
        <w:rPr>
          <w:rFonts w:cs="Arial"/>
          <w:szCs w:val="22"/>
          <w:lang w:bidi="ar-SA"/>
        </w:rPr>
        <w:t>. Diet was assessed at baseline and week 12</w:t>
      </w:r>
      <w:r w:rsidR="00746E6D" w:rsidRPr="00746E6D">
        <w:rPr>
          <w:rFonts w:cs="Arial"/>
          <w:szCs w:val="22"/>
          <w:lang w:bidi="ar-SA"/>
        </w:rPr>
        <w:t xml:space="preserve"> via a seven day diary</w:t>
      </w:r>
      <w:r w:rsidR="00502288">
        <w:rPr>
          <w:rFonts w:cs="Arial"/>
          <w:szCs w:val="22"/>
          <w:lang w:bidi="ar-SA"/>
        </w:rPr>
        <w:t>; dietary fibre intake was ~22 g/</w:t>
      </w:r>
      <w:r w:rsidR="00502288" w:rsidRPr="00DB1650">
        <w:rPr>
          <w:rFonts w:cs="Arial"/>
          <w:szCs w:val="22"/>
          <w:lang w:bidi="ar-SA"/>
        </w:rPr>
        <w:t>day.</w:t>
      </w:r>
      <w:r w:rsidRPr="00DB1650">
        <w:rPr>
          <w:rFonts w:cs="Arial"/>
          <w:szCs w:val="22"/>
          <w:lang w:bidi="ar-SA"/>
        </w:rPr>
        <w:t xml:space="preserve"> </w:t>
      </w:r>
      <w:r w:rsidR="00071420" w:rsidRPr="00071420">
        <w:rPr>
          <w:rFonts w:cs="Arial"/>
          <w:szCs w:val="22"/>
          <w:lang w:bidi="ar-SA"/>
        </w:rPr>
        <w:t xml:space="preserve">At baseline, there were no significant differences between groups for blood lipids, glucose tolerance, body composition, or diet. </w:t>
      </w:r>
      <w:r w:rsidRPr="00071420">
        <w:rPr>
          <w:rFonts w:cs="Arial"/>
          <w:szCs w:val="22"/>
          <w:lang w:bidi="ar-SA"/>
        </w:rPr>
        <w:t xml:space="preserve">No significant differences in the change between groups </w:t>
      </w:r>
      <w:r w:rsidRPr="00DB1650">
        <w:rPr>
          <w:rFonts w:cs="Arial"/>
          <w:szCs w:val="22"/>
          <w:lang w:bidi="ar-SA"/>
        </w:rPr>
        <w:t>were found except for the percentage of dietary energy from protein which increased by 1.1% in the placebo condition (</w:t>
      </w:r>
      <w:r w:rsidRPr="00DB1650">
        <w:rPr>
          <w:rFonts w:cs="Arial"/>
          <w:i/>
          <w:szCs w:val="22"/>
          <w:lang w:bidi="ar-SA"/>
        </w:rPr>
        <w:t>P</w:t>
      </w:r>
      <w:r w:rsidRPr="00DB1650">
        <w:rPr>
          <w:rFonts w:cs="Arial"/>
          <w:szCs w:val="22"/>
          <w:lang w:bidi="ar-SA"/>
        </w:rPr>
        <w:t xml:space="preserve">=0.004). </w:t>
      </w:r>
      <w:r w:rsidRPr="00F2125B">
        <w:rPr>
          <w:rFonts w:cs="Arial"/>
          <w:szCs w:val="22"/>
          <w:lang w:bidi="ar-SA"/>
        </w:rPr>
        <w:t>Body</w:t>
      </w:r>
      <w:r w:rsidR="00F2125B" w:rsidRPr="00F2125B">
        <w:rPr>
          <w:rFonts w:cs="Arial"/>
          <w:szCs w:val="22"/>
          <w:lang w:bidi="ar-SA"/>
        </w:rPr>
        <w:t xml:space="preserve"> weight</w:t>
      </w:r>
      <w:r w:rsidR="006D1234">
        <w:rPr>
          <w:rFonts w:cs="Arial"/>
          <w:szCs w:val="22"/>
          <w:lang w:bidi="ar-SA"/>
        </w:rPr>
        <w:t xml:space="preserve"> (kg), body mass index (kg/m</w:t>
      </w:r>
      <w:r w:rsidR="006D1234" w:rsidRPr="006D1234">
        <w:rPr>
          <w:rFonts w:cs="Arial"/>
          <w:szCs w:val="22"/>
          <w:vertAlign w:val="superscript"/>
          <w:lang w:bidi="ar-SA"/>
        </w:rPr>
        <w:t>2</w:t>
      </w:r>
      <w:r w:rsidR="006D1234">
        <w:rPr>
          <w:rFonts w:cs="Arial"/>
          <w:szCs w:val="22"/>
          <w:lang w:bidi="ar-SA"/>
        </w:rPr>
        <w:t xml:space="preserve">), </w:t>
      </w:r>
      <w:r w:rsidR="006D1234" w:rsidRPr="006D1234">
        <w:rPr>
          <w:rFonts w:cs="Arial"/>
          <w:szCs w:val="22"/>
          <w:lang w:bidi="ar-SA"/>
        </w:rPr>
        <w:t>body fat (%;</w:t>
      </w:r>
      <w:r w:rsidR="00746E6D" w:rsidRPr="006D1234">
        <w:rPr>
          <w:rFonts w:cs="Arial"/>
          <w:szCs w:val="22"/>
          <w:lang w:bidi="ar-SA"/>
        </w:rPr>
        <w:t xml:space="preserve"> measured by bioimpedance</w:t>
      </w:r>
      <w:r w:rsidR="006D1234" w:rsidRPr="006D1234">
        <w:rPr>
          <w:rFonts w:cs="Arial"/>
          <w:szCs w:val="22"/>
          <w:lang w:bidi="ar-SA"/>
        </w:rPr>
        <w:t>)</w:t>
      </w:r>
      <w:r w:rsidR="00746E6D" w:rsidRPr="006D1234">
        <w:rPr>
          <w:rFonts w:cs="Arial"/>
          <w:szCs w:val="22"/>
          <w:lang w:bidi="ar-SA"/>
        </w:rPr>
        <w:t>,</w:t>
      </w:r>
      <w:r w:rsidRPr="006D1234">
        <w:rPr>
          <w:rFonts w:cs="Arial"/>
          <w:szCs w:val="22"/>
          <w:lang w:bidi="ar-SA"/>
        </w:rPr>
        <w:t xml:space="preserve"> </w:t>
      </w:r>
      <w:r w:rsidR="006D1234">
        <w:rPr>
          <w:rFonts w:cs="Arial"/>
          <w:szCs w:val="22"/>
          <w:lang w:bidi="ar-SA"/>
        </w:rPr>
        <w:t xml:space="preserve">and waist circumference (cm), </w:t>
      </w:r>
      <w:r w:rsidRPr="006D1234">
        <w:rPr>
          <w:rFonts w:cs="Arial"/>
          <w:szCs w:val="22"/>
          <w:lang w:bidi="ar-SA"/>
        </w:rPr>
        <w:t>did not change between groups over the 12 weeks</w:t>
      </w:r>
      <w:r w:rsidR="006D1234" w:rsidRPr="006D1234">
        <w:rPr>
          <w:rFonts w:cs="Arial"/>
          <w:szCs w:val="22"/>
          <w:lang w:bidi="ar-SA"/>
        </w:rPr>
        <w:t xml:space="preserve"> (</w:t>
      </w:r>
      <w:r w:rsidR="006D1234" w:rsidRPr="006D1234">
        <w:rPr>
          <w:i/>
          <w:szCs w:val="22"/>
          <w:lang w:bidi="ar-SA"/>
        </w:rPr>
        <w:t>P</w:t>
      </w:r>
      <w:r w:rsidR="006D1234" w:rsidRPr="006D1234">
        <w:rPr>
          <w:szCs w:val="22"/>
          <w:lang w:bidi="ar-SA"/>
        </w:rPr>
        <w:t xml:space="preserve">=0.335, </w:t>
      </w:r>
      <w:r w:rsidR="006D1234" w:rsidRPr="006D1234">
        <w:rPr>
          <w:i/>
          <w:szCs w:val="22"/>
          <w:lang w:bidi="ar-SA"/>
        </w:rPr>
        <w:t>P</w:t>
      </w:r>
      <w:r w:rsidR="006D1234" w:rsidRPr="006D1234">
        <w:rPr>
          <w:szCs w:val="22"/>
          <w:lang w:bidi="ar-SA"/>
        </w:rPr>
        <w:t xml:space="preserve">=0.333, </w:t>
      </w:r>
      <w:r w:rsidR="006D1234" w:rsidRPr="006D1234">
        <w:rPr>
          <w:i/>
          <w:szCs w:val="22"/>
          <w:lang w:bidi="ar-SA"/>
        </w:rPr>
        <w:t>P</w:t>
      </w:r>
      <w:r w:rsidR="006D1234" w:rsidRPr="006D1234">
        <w:rPr>
          <w:szCs w:val="22"/>
          <w:lang w:bidi="ar-SA"/>
        </w:rPr>
        <w:t xml:space="preserve">=0.514, and </w:t>
      </w:r>
      <w:r w:rsidR="006D1234" w:rsidRPr="006D1234">
        <w:rPr>
          <w:i/>
          <w:szCs w:val="22"/>
          <w:lang w:bidi="ar-SA"/>
        </w:rPr>
        <w:t>P</w:t>
      </w:r>
      <w:r w:rsidR="006D1234" w:rsidRPr="006D1234">
        <w:rPr>
          <w:szCs w:val="22"/>
          <w:lang w:bidi="ar-SA"/>
        </w:rPr>
        <w:t>=0.451, respectively)</w:t>
      </w:r>
      <w:r w:rsidRPr="006D1234">
        <w:rPr>
          <w:rFonts w:cs="Arial"/>
          <w:szCs w:val="22"/>
          <w:lang w:bidi="ar-SA"/>
        </w:rPr>
        <w:t xml:space="preserve">. </w:t>
      </w:r>
      <w:r w:rsidRPr="00746E6D">
        <w:rPr>
          <w:rFonts w:cs="Arial"/>
          <w:szCs w:val="22"/>
          <w:lang w:bidi="ar-SA"/>
        </w:rPr>
        <w:t xml:space="preserve">Compliance to the consumption of maltodextrin or </w:t>
      </w:r>
      <w:r w:rsidR="00C92EF1">
        <w:rPr>
          <w:rFonts w:cs="Arial"/>
        </w:rPr>
        <w:t>GOS</w:t>
      </w:r>
      <w:r w:rsidRPr="00746E6D">
        <w:rPr>
          <w:rFonts w:cs="Arial"/>
          <w:szCs w:val="22"/>
          <w:lang w:bidi="ar-SA"/>
        </w:rPr>
        <w:t xml:space="preserve"> mixture powders was reported to be 96%, as assessed via the return of sachets. </w:t>
      </w:r>
      <w:r w:rsidRPr="000352ED">
        <w:rPr>
          <w:rFonts w:cs="Arial"/>
          <w:szCs w:val="22"/>
          <w:lang w:bidi="ar-SA"/>
        </w:rPr>
        <w:t xml:space="preserve">Diet did not differ between conditions over time, with exception for the percentage of energy attributed to protein </w:t>
      </w:r>
      <w:r w:rsidRPr="000352ED">
        <w:rPr>
          <w:szCs w:val="22"/>
        </w:rPr>
        <w:t>(</w:t>
      </w:r>
      <w:r w:rsidRPr="000352ED">
        <w:rPr>
          <w:i/>
          <w:szCs w:val="22"/>
        </w:rPr>
        <w:t>P</w:t>
      </w:r>
      <w:r w:rsidRPr="000352ED">
        <w:rPr>
          <w:szCs w:val="22"/>
        </w:rPr>
        <w:t>=0.004)</w:t>
      </w:r>
      <w:r w:rsidRPr="000352ED">
        <w:rPr>
          <w:rFonts w:cs="Arial"/>
          <w:szCs w:val="22"/>
          <w:lang w:bidi="ar-SA"/>
        </w:rPr>
        <w:t>. P</w:t>
      </w:r>
      <w:r w:rsidRPr="000352ED">
        <w:rPr>
          <w:szCs w:val="22"/>
          <w:lang w:bidi="ar-SA"/>
        </w:rPr>
        <w:t>lasma lipid measures included concentrations of triglycerides, and total, LDL- and HDL-cholesterol. None were significantly different between the two conditions over time</w:t>
      </w:r>
      <w:r w:rsidR="000352ED" w:rsidRPr="000352ED">
        <w:rPr>
          <w:szCs w:val="22"/>
          <w:lang w:bidi="ar-SA"/>
        </w:rPr>
        <w:t xml:space="preserve"> (triglycerides, </w:t>
      </w:r>
      <w:r w:rsidR="000352ED" w:rsidRPr="000352ED">
        <w:rPr>
          <w:i/>
          <w:szCs w:val="22"/>
          <w:lang w:bidi="ar-SA"/>
        </w:rPr>
        <w:t>P</w:t>
      </w:r>
      <w:r w:rsidR="000352ED" w:rsidRPr="000352ED">
        <w:rPr>
          <w:szCs w:val="22"/>
          <w:lang w:bidi="ar-SA"/>
        </w:rPr>
        <w:t xml:space="preserve">=0.534; HDL-cholesterol, </w:t>
      </w:r>
      <w:r w:rsidR="000352ED" w:rsidRPr="000352ED">
        <w:rPr>
          <w:i/>
          <w:szCs w:val="22"/>
          <w:lang w:bidi="ar-SA"/>
        </w:rPr>
        <w:t>P</w:t>
      </w:r>
      <w:r w:rsidR="000352ED" w:rsidRPr="000352ED">
        <w:rPr>
          <w:szCs w:val="22"/>
          <w:lang w:bidi="ar-SA"/>
        </w:rPr>
        <w:t>=0.798)</w:t>
      </w:r>
      <w:r w:rsidRPr="000352ED">
        <w:rPr>
          <w:szCs w:val="22"/>
          <w:lang w:bidi="ar-SA"/>
        </w:rPr>
        <w:t>. The between-group difference in change over time approached significance for total and LDL-cholesterol (</w:t>
      </w:r>
      <w:r w:rsidRPr="000352ED">
        <w:rPr>
          <w:i/>
          <w:szCs w:val="22"/>
          <w:lang w:bidi="ar-SA"/>
        </w:rPr>
        <w:t>P</w:t>
      </w:r>
      <w:r w:rsidRPr="000352ED">
        <w:rPr>
          <w:szCs w:val="22"/>
          <w:lang w:bidi="ar-SA"/>
        </w:rPr>
        <w:t xml:space="preserve">=0.068 and </w:t>
      </w:r>
      <w:r w:rsidRPr="000352ED">
        <w:rPr>
          <w:i/>
          <w:szCs w:val="22"/>
          <w:lang w:bidi="ar-SA"/>
        </w:rPr>
        <w:t>P</w:t>
      </w:r>
      <w:r w:rsidRPr="000352ED">
        <w:rPr>
          <w:szCs w:val="22"/>
          <w:lang w:bidi="ar-SA"/>
        </w:rPr>
        <w:t xml:space="preserve">=0.051, </w:t>
      </w:r>
      <w:r w:rsidRPr="000663E9">
        <w:rPr>
          <w:szCs w:val="22"/>
          <w:lang w:bidi="ar-SA"/>
        </w:rPr>
        <w:t>respectively). In this sample of adults</w:t>
      </w:r>
      <w:r w:rsidRPr="000663E9">
        <w:rPr>
          <w:lang w:bidi="ar-SA"/>
        </w:rPr>
        <w:t xml:space="preserve"> with </w:t>
      </w:r>
      <w:r w:rsidRPr="000663E9">
        <w:rPr>
          <w:rFonts w:cs="Arial"/>
          <w:szCs w:val="22"/>
          <w:lang w:bidi="ar-SA"/>
        </w:rPr>
        <w:t>well-controlled type 2 diabetes mellitus,</w:t>
      </w:r>
      <w:r w:rsidRPr="000663E9">
        <w:rPr>
          <w:lang w:bidi="ar-SA"/>
        </w:rPr>
        <w:t xml:space="preserve"> n</w:t>
      </w:r>
      <w:r w:rsidRPr="000663E9">
        <w:rPr>
          <w:rFonts w:cs="Arial"/>
        </w:rPr>
        <w:t xml:space="preserve">o effect on any blood cholesterol outcome </w:t>
      </w:r>
      <w:r w:rsidRPr="000663E9">
        <w:rPr>
          <w:rFonts w:cs="Arial"/>
          <w:szCs w:val="22"/>
        </w:rPr>
        <w:t xml:space="preserve">was found with a low </w:t>
      </w:r>
      <w:r w:rsidR="00C92EF1">
        <w:rPr>
          <w:rFonts w:cs="Arial"/>
          <w:szCs w:val="22"/>
        </w:rPr>
        <w:t>GOS</w:t>
      </w:r>
      <w:r w:rsidRPr="000663E9">
        <w:rPr>
          <w:rFonts w:cs="Arial"/>
          <w:szCs w:val="22"/>
        </w:rPr>
        <w:t xml:space="preserve"> intake of </w:t>
      </w:r>
      <w:r w:rsidRPr="000663E9">
        <w:rPr>
          <w:rFonts w:cs="Arial"/>
        </w:rPr>
        <w:t xml:space="preserve">2.6 </w:t>
      </w:r>
      <w:r w:rsidRPr="000663E9">
        <w:rPr>
          <w:rFonts w:cs="Arial"/>
          <w:szCs w:val="22"/>
        </w:rPr>
        <w:t>g/day over 12 weeks.</w:t>
      </w:r>
    </w:p>
    <w:p w14:paraId="62ACAEE9" w14:textId="77777777" w:rsidR="009E745B" w:rsidRPr="00A46A49" w:rsidRDefault="009E745B" w:rsidP="009E745B">
      <w:pPr>
        <w:rPr>
          <w:lang w:bidi="ar-SA"/>
        </w:rPr>
      </w:pPr>
    </w:p>
    <w:p w14:paraId="15BF0BAF" w14:textId="33441955" w:rsidR="009E745B" w:rsidRPr="00412E48" w:rsidRDefault="009E745B" w:rsidP="009E745B">
      <w:pPr>
        <w:rPr>
          <w:rFonts w:cs="Arial"/>
        </w:rPr>
      </w:pPr>
      <w:r w:rsidRPr="00A46A49">
        <w:rPr>
          <w:lang w:bidi="ar-SA"/>
        </w:rPr>
        <w:t>Canfora et al. (2017) conducted a randomised (stratified for age and sex), double-blinded, placebo-controlled, parallel trial. Participants (n=44, aged 45-70 years) were overweight or obese (body mass index mean: ~33 kg/m</w:t>
      </w:r>
      <w:r w:rsidRPr="00A46A49">
        <w:rPr>
          <w:vertAlign w:val="superscript"/>
          <w:lang w:bidi="ar-SA"/>
        </w:rPr>
        <w:t>2</w:t>
      </w:r>
      <w:r w:rsidRPr="00A46A49">
        <w:rPr>
          <w:lang w:bidi="ar-SA"/>
        </w:rPr>
        <w:t>, and range: 28–40 kg/m</w:t>
      </w:r>
      <w:r w:rsidRPr="00A46A49">
        <w:rPr>
          <w:vertAlign w:val="superscript"/>
          <w:lang w:bidi="ar-SA"/>
        </w:rPr>
        <w:t>2</w:t>
      </w:r>
      <w:r w:rsidRPr="00A46A49">
        <w:rPr>
          <w:lang w:bidi="ar-SA"/>
        </w:rPr>
        <w:t xml:space="preserve">) </w:t>
      </w:r>
      <w:r w:rsidR="008C2239">
        <w:rPr>
          <w:lang w:bidi="ar-SA"/>
        </w:rPr>
        <w:t>and</w:t>
      </w:r>
      <w:r w:rsidR="00C7174C" w:rsidRPr="00A46A49">
        <w:rPr>
          <w:lang w:bidi="ar-SA"/>
        </w:rPr>
        <w:t xml:space="preserve"> weight stable (in the three months prior to study commencement), </w:t>
      </w:r>
      <w:r w:rsidRPr="00A46A49">
        <w:rPr>
          <w:lang w:bidi="ar-SA"/>
        </w:rPr>
        <w:t>with impaired fasting glucose (defined as a fa</w:t>
      </w:r>
      <w:r w:rsidRPr="00C7174C">
        <w:rPr>
          <w:lang w:bidi="ar-SA"/>
        </w:rPr>
        <w:t xml:space="preserve">sting plasma glucose </w:t>
      </w:r>
      <w:r w:rsidRPr="00C7174C">
        <w:rPr>
          <w:rFonts w:cs="Arial"/>
          <w:lang w:bidi="ar-SA"/>
        </w:rPr>
        <w:t>≥</w:t>
      </w:r>
      <w:r w:rsidRPr="00C7174C">
        <w:rPr>
          <w:lang w:bidi="ar-SA"/>
        </w:rPr>
        <w:t xml:space="preserve"> 5.6 mmol/L) or impaired glucose tolerance (defined as a plasma glucose between 7.8 and 11 mmol/L at two hours post-oral glucose tolerance test containing 75 g glucose). </w:t>
      </w:r>
      <w:r w:rsidRPr="00A46A49">
        <w:rPr>
          <w:lang w:bidi="ar-SA"/>
        </w:rPr>
        <w:t>Criteria excluded volunteers</w:t>
      </w:r>
      <w:r w:rsidR="00C7174C" w:rsidRPr="00A46A49">
        <w:rPr>
          <w:lang w:bidi="ar-SA"/>
        </w:rPr>
        <w:t>:</w:t>
      </w:r>
      <w:r w:rsidRPr="00A46A49">
        <w:rPr>
          <w:lang w:bidi="ar-SA"/>
        </w:rPr>
        <w:t xml:space="preserve"> with diabetes, cardiovascular disease, gastroenterologic diseases,</w:t>
      </w:r>
      <w:r w:rsidR="00C7174C" w:rsidRPr="00A46A49">
        <w:rPr>
          <w:lang w:bidi="ar-SA"/>
        </w:rPr>
        <w:t xml:space="preserve"> abdominal surgery, or liver or kidney malfunction;</w:t>
      </w:r>
      <w:r w:rsidRPr="00A46A49">
        <w:rPr>
          <w:lang w:bidi="ar-SA"/>
        </w:rPr>
        <w:t xml:space="preserve"> taking lipid- or glucose-lowering medication</w:t>
      </w:r>
      <w:r w:rsidR="00C7174C" w:rsidRPr="00A46A49">
        <w:rPr>
          <w:lang w:bidi="ar-SA"/>
        </w:rPr>
        <w:t xml:space="preserve">, </w:t>
      </w:r>
      <w:r w:rsidR="00C7174C" w:rsidRPr="00A46A49">
        <w:rPr>
          <w:rFonts w:cs="Arial"/>
          <w:i/>
          <w:lang w:bidi="ar-SA"/>
        </w:rPr>
        <w:t>β</w:t>
      </w:r>
      <w:r w:rsidR="00C7174C" w:rsidRPr="00A46A49">
        <w:rPr>
          <w:lang w:bidi="ar-SA"/>
        </w:rPr>
        <w:t>-blockers</w:t>
      </w:r>
      <w:r w:rsidRPr="00A46A49">
        <w:rPr>
          <w:lang w:bidi="ar-SA"/>
        </w:rPr>
        <w:t xml:space="preserve">, </w:t>
      </w:r>
      <w:r w:rsidR="00C7174C" w:rsidRPr="00A46A49">
        <w:rPr>
          <w:lang w:bidi="ar-SA"/>
        </w:rPr>
        <w:t xml:space="preserve">antioxidants, or chronic corticosteroids; </w:t>
      </w:r>
      <w:r w:rsidRPr="00A46A49">
        <w:rPr>
          <w:lang w:bidi="ar-SA"/>
        </w:rPr>
        <w:t>consuming antibiotics, prebiotics, or probiotics during or in the three months prior to the study</w:t>
      </w:r>
      <w:r w:rsidR="00C7174C" w:rsidRPr="00A46A49">
        <w:rPr>
          <w:lang w:bidi="ar-SA"/>
        </w:rPr>
        <w:t xml:space="preserve">; following a hypocaloric diet; </w:t>
      </w:r>
      <w:r w:rsidR="00C7174C">
        <w:rPr>
          <w:lang w:bidi="ar-SA"/>
        </w:rPr>
        <w:t xml:space="preserve">or, </w:t>
      </w:r>
      <w:r w:rsidR="00A46A49">
        <w:rPr>
          <w:lang w:bidi="ar-SA"/>
        </w:rPr>
        <w:t>with a life expectancy less than five years</w:t>
      </w:r>
      <w:r w:rsidRPr="00C7174C">
        <w:rPr>
          <w:lang w:bidi="ar-SA"/>
        </w:rPr>
        <w:t>. Two dropped out of the study</w:t>
      </w:r>
      <w:r w:rsidR="00C7174C">
        <w:rPr>
          <w:lang w:bidi="ar-SA"/>
        </w:rPr>
        <w:t xml:space="preserve"> (final n=44)</w:t>
      </w:r>
      <w:r w:rsidRPr="00C7174C">
        <w:rPr>
          <w:lang w:bidi="ar-SA"/>
        </w:rPr>
        <w:t>. Two 12-week conditions were tested</w:t>
      </w:r>
      <w:r w:rsidRPr="00A46A49">
        <w:rPr>
          <w:lang w:bidi="ar-SA"/>
        </w:rPr>
        <w:t xml:space="preserve">: an isocaloric placebo (maltodextrin, n=23); and, a </w:t>
      </w:r>
      <w:r w:rsidR="00C92EF1">
        <w:rPr>
          <w:lang w:bidi="ar-SA"/>
        </w:rPr>
        <w:t>GOS</w:t>
      </w:r>
      <w:r w:rsidRPr="00A46A49">
        <w:rPr>
          <w:lang w:bidi="ar-SA"/>
        </w:rPr>
        <w:t xml:space="preserve"> condition (n=21). </w:t>
      </w:r>
      <w:r w:rsidRPr="00C7174C">
        <w:rPr>
          <w:lang w:bidi="ar-SA"/>
        </w:rPr>
        <w:t xml:space="preserve">During the 12-week </w:t>
      </w:r>
      <w:r w:rsidR="00C92EF1">
        <w:rPr>
          <w:rFonts w:cs="Arial"/>
        </w:rPr>
        <w:t>GOS</w:t>
      </w:r>
      <w:r w:rsidRPr="00C7174C">
        <w:rPr>
          <w:rFonts w:cs="Arial"/>
        </w:rPr>
        <w:t xml:space="preserve"> condition, participants consumed 15 g of </w:t>
      </w:r>
      <w:r w:rsidR="00C92EF1">
        <w:rPr>
          <w:rFonts w:cs="Arial"/>
        </w:rPr>
        <w:t>GOS</w:t>
      </w:r>
      <w:r w:rsidR="00F2125B">
        <w:rPr>
          <w:rFonts w:cs="Arial"/>
        </w:rPr>
        <w:t xml:space="preserve"> daily (</w:t>
      </w:r>
      <w:r w:rsidRPr="00C7174C">
        <w:rPr>
          <w:rFonts w:cs="Arial"/>
        </w:rPr>
        <w:t>for consumption instructions, structure and form</w:t>
      </w:r>
      <w:r w:rsidR="008A21FD">
        <w:rPr>
          <w:rFonts w:cs="Arial"/>
        </w:rPr>
        <w:t xml:space="preserve">, see </w:t>
      </w:r>
      <w:r w:rsidR="008A21FD">
        <w:rPr>
          <w:rFonts w:cs="Arial"/>
          <w:szCs w:val="22"/>
        </w:rPr>
        <w:t>Table 7, Appendix Section 2.5</w:t>
      </w:r>
      <w:r w:rsidRPr="00794872">
        <w:rPr>
          <w:rFonts w:cs="Arial"/>
        </w:rPr>
        <w:t>)</w:t>
      </w:r>
      <w:r w:rsidRPr="00794872">
        <w:rPr>
          <w:lang w:bidi="ar-SA"/>
        </w:rPr>
        <w:t>. Participants were instructed to maintain their current diet and physical activity</w:t>
      </w:r>
      <w:r w:rsidRPr="00222055">
        <w:rPr>
          <w:lang w:bidi="ar-SA"/>
        </w:rPr>
        <w:t>. Diet (energy, macronutrient and fibre intake via a three-day weighed food record), body composition</w:t>
      </w:r>
      <w:r w:rsidR="00222055" w:rsidRPr="00222055">
        <w:rPr>
          <w:lang w:bidi="ar-SA"/>
        </w:rPr>
        <w:t xml:space="preserve"> (via </w:t>
      </w:r>
      <w:r w:rsidR="00222055" w:rsidRPr="00376A9F">
        <w:rPr>
          <w:lang w:bidi="ar-SA"/>
        </w:rPr>
        <w:t>dual-energy X-ray absorptiometry and body weight)</w:t>
      </w:r>
      <w:r w:rsidRPr="00376A9F">
        <w:rPr>
          <w:lang w:bidi="ar-SA"/>
        </w:rPr>
        <w:t xml:space="preserve">, and physical activity were not significantly different between groups </w:t>
      </w:r>
      <w:r w:rsidR="00EF5010">
        <w:rPr>
          <w:lang w:bidi="ar-SA"/>
        </w:rPr>
        <w:t xml:space="preserve">over time, </w:t>
      </w:r>
      <w:r w:rsidRPr="00376A9F">
        <w:rPr>
          <w:lang w:bidi="ar-SA"/>
        </w:rPr>
        <w:t>at week 12</w:t>
      </w:r>
      <w:r w:rsidR="00376A9F" w:rsidRPr="00376A9F">
        <w:rPr>
          <w:lang w:bidi="ar-SA"/>
        </w:rPr>
        <w:t xml:space="preserve"> (</w:t>
      </w:r>
      <w:r w:rsidR="00376A9F" w:rsidRPr="00376A9F">
        <w:rPr>
          <w:i/>
          <w:lang w:bidi="ar-SA"/>
        </w:rPr>
        <w:t>P</w:t>
      </w:r>
      <w:r w:rsidR="00376A9F" w:rsidRPr="00376A9F">
        <w:rPr>
          <w:lang w:bidi="ar-SA"/>
        </w:rPr>
        <w:t xml:space="preserve"> ranged from 0.114 to 0.912)</w:t>
      </w:r>
      <w:r w:rsidRPr="00376A9F">
        <w:rPr>
          <w:lang w:bidi="ar-SA"/>
        </w:rPr>
        <w:t xml:space="preserve">. </w:t>
      </w:r>
      <w:r w:rsidRPr="00376A9F">
        <w:rPr>
          <w:rFonts w:cs="Arial"/>
          <w:szCs w:val="22"/>
          <w:lang w:bidi="ar-SA"/>
        </w:rPr>
        <w:t xml:space="preserve">Compliance to the consumption of maltodextrin or </w:t>
      </w:r>
      <w:r w:rsidR="00C92EF1">
        <w:rPr>
          <w:rFonts w:cs="Arial"/>
        </w:rPr>
        <w:t>GOS</w:t>
      </w:r>
      <w:r w:rsidRPr="00376A9F">
        <w:rPr>
          <w:rFonts w:cs="Arial"/>
          <w:szCs w:val="22"/>
          <w:lang w:bidi="ar-SA"/>
        </w:rPr>
        <w:t xml:space="preserve"> mixture powders was reported to be 98%, as assessed via the return of sachets and participants’ recording of intake.</w:t>
      </w:r>
      <w:r w:rsidRPr="00376A9F">
        <w:rPr>
          <w:lang w:bidi="ar-SA"/>
        </w:rPr>
        <w:t xml:space="preserve"> Plasma triacylglycerol was the only outcome assessed of relevance to blood cholesterol</w:t>
      </w:r>
      <w:r w:rsidRPr="00412E48">
        <w:rPr>
          <w:lang w:bidi="ar-SA"/>
        </w:rPr>
        <w:t>. It was not used in the stu</w:t>
      </w:r>
      <w:r w:rsidR="00621B49">
        <w:rPr>
          <w:lang w:bidi="ar-SA"/>
        </w:rPr>
        <w:t>dy’s screening criteria and it wa</w:t>
      </w:r>
      <w:r w:rsidRPr="00412E48">
        <w:rPr>
          <w:lang w:bidi="ar-SA"/>
        </w:rPr>
        <w:t>s not stated whether the baseline concentrations</w:t>
      </w:r>
      <w:r w:rsidR="00412E48" w:rsidRPr="00412E48">
        <w:rPr>
          <w:lang w:bidi="ar-SA"/>
        </w:rPr>
        <w:t xml:space="preserve"> statistically</w:t>
      </w:r>
      <w:r w:rsidRPr="00412E48">
        <w:rPr>
          <w:lang w:bidi="ar-SA"/>
        </w:rPr>
        <w:t xml:space="preserve"> differed between conditions. After the 12</w:t>
      </w:r>
      <w:r w:rsidR="00412E48" w:rsidRPr="00412E48">
        <w:rPr>
          <w:lang w:bidi="ar-SA"/>
        </w:rPr>
        <w:t xml:space="preserve"> </w:t>
      </w:r>
      <w:r w:rsidRPr="00412E48">
        <w:rPr>
          <w:lang w:bidi="ar-SA"/>
        </w:rPr>
        <w:t>week period, and after a 12 hour fast</w:t>
      </w:r>
      <w:r w:rsidRPr="00412E48">
        <w:rPr>
          <w:szCs w:val="22"/>
          <w:lang w:bidi="ar-SA"/>
        </w:rPr>
        <w:t xml:space="preserve">, </w:t>
      </w:r>
      <w:r w:rsidRPr="00412E48">
        <w:rPr>
          <w:lang w:bidi="ar-SA"/>
        </w:rPr>
        <w:t xml:space="preserve">no significant differences between groups over time were detected for fasting plasma triacylglycerol (presented in Table </w:t>
      </w:r>
      <w:r w:rsidR="00A65AE0">
        <w:rPr>
          <w:lang w:bidi="ar-SA"/>
        </w:rPr>
        <w:t>3</w:t>
      </w:r>
      <w:r w:rsidRPr="00412E48">
        <w:rPr>
          <w:lang w:bidi="ar-SA"/>
        </w:rPr>
        <w:t xml:space="preserve">; </w:t>
      </w:r>
      <w:r w:rsidRPr="00412E48">
        <w:rPr>
          <w:i/>
          <w:lang w:bidi="ar-SA"/>
        </w:rPr>
        <w:t>P</w:t>
      </w:r>
      <w:r w:rsidRPr="00412E48">
        <w:rPr>
          <w:lang w:bidi="ar-SA"/>
        </w:rPr>
        <w:t>=0.54) and steady-state plasma triacylglycero</w:t>
      </w:r>
      <w:r w:rsidRPr="00376A9F">
        <w:rPr>
          <w:lang w:bidi="ar-SA"/>
        </w:rPr>
        <w:t xml:space="preserve">l (during the hyperinsulinemic-euglycemic clamp method; data not extracted in Table </w:t>
      </w:r>
      <w:r w:rsidR="00A65AE0">
        <w:rPr>
          <w:lang w:bidi="ar-SA"/>
        </w:rPr>
        <w:t>3</w:t>
      </w:r>
      <w:r w:rsidRPr="00376A9F">
        <w:rPr>
          <w:lang w:bidi="ar-SA"/>
        </w:rPr>
        <w:t xml:space="preserve">; </w:t>
      </w:r>
      <w:r w:rsidRPr="00376A9F">
        <w:rPr>
          <w:i/>
          <w:lang w:bidi="ar-SA"/>
        </w:rPr>
        <w:t>P</w:t>
      </w:r>
      <w:r w:rsidRPr="00376A9F">
        <w:rPr>
          <w:lang w:bidi="ar-SA"/>
        </w:rPr>
        <w:t>=0.71</w:t>
      </w:r>
      <w:r w:rsidRPr="00412E48">
        <w:rPr>
          <w:lang w:bidi="ar-SA"/>
        </w:rPr>
        <w:t>) levels. In this sample of adults with impaired fasting glucose or impaired glucose tolerance</w:t>
      </w:r>
      <w:r w:rsidRPr="00412E48">
        <w:rPr>
          <w:rFonts w:cs="Arial"/>
          <w:szCs w:val="22"/>
          <w:lang w:bidi="ar-SA"/>
        </w:rPr>
        <w:t>,</w:t>
      </w:r>
      <w:r w:rsidRPr="00412E48">
        <w:rPr>
          <w:lang w:bidi="ar-SA"/>
        </w:rPr>
        <w:t xml:space="preserve"> n</w:t>
      </w:r>
      <w:r w:rsidRPr="00412E48">
        <w:rPr>
          <w:rFonts w:cs="Arial"/>
        </w:rPr>
        <w:t xml:space="preserve">o effect on </w:t>
      </w:r>
      <w:r w:rsidRPr="00412E48">
        <w:rPr>
          <w:lang w:bidi="ar-SA"/>
        </w:rPr>
        <w:t xml:space="preserve">plasma triacylglycerol concentration </w:t>
      </w:r>
      <w:r w:rsidRPr="00412E48">
        <w:rPr>
          <w:rFonts w:cs="Arial"/>
        </w:rPr>
        <w:t xml:space="preserve">was found with a high </w:t>
      </w:r>
      <w:r w:rsidR="00C92EF1">
        <w:rPr>
          <w:rFonts w:cs="Arial"/>
        </w:rPr>
        <w:t>GOS</w:t>
      </w:r>
      <w:r w:rsidRPr="00412E48">
        <w:rPr>
          <w:rFonts w:cs="Arial"/>
        </w:rPr>
        <w:t xml:space="preserve"> intake of 15 g/day over 12 weeks.</w:t>
      </w:r>
    </w:p>
    <w:p w14:paraId="7786A6F9" w14:textId="6A854D8C" w:rsidR="009E745B" w:rsidRDefault="009E745B" w:rsidP="009E745B">
      <w:pPr>
        <w:rPr>
          <w:lang w:bidi="ar-SA"/>
        </w:rPr>
      </w:pPr>
    </w:p>
    <w:p w14:paraId="16FCEF6B" w14:textId="77777777" w:rsidR="009E745B" w:rsidRPr="009E745B" w:rsidRDefault="009E745B" w:rsidP="009E745B">
      <w:pPr>
        <w:rPr>
          <w:lang w:bidi="ar-SA"/>
        </w:rPr>
      </w:pPr>
    </w:p>
    <w:p w14:paraId="6AE119D9" w14:textId="5852494B" w:rsidR="003D7003" w:rsidRDefault="00F73110" w:rsidP="0073104D">
      <w:pPr>
        <w:pStyle w:val="Heading2"/>
      </w:pPr>
      <w:bookmarkStart w:id="35" w:name="_Toc64561469"/>
      <w:bookmarkStart w:id="36" w:name="_Toc66868371"/>
      <w:r>
        <w:t>2.4.1</w:t>
      </w:r>
      <w:r w:rsidR="003D7003">
        <w:t xml:space="preserve"> Blood glucose: review methodology and results</w:t>
      </w:r>
      <w:bookmarkEnd w:id="35"/>
      <w:bookmarkEnd w:id="36"/>
    </w:p>
    <w:p w14:paraId="2ED91F36" w14:textId="626865D4" w:rsidR="006F44A7" w:rsidRPr="00FF4CBB" w:rsidRDefault="006F44A7" w:rsidP="006F44A7">
      <w:pPr>
        <w:rPr>
          <w:lang w:bidi="ar-SA"/>
        </w:rPr>
      </w:pPr>
      <w:r>
        <w:rPr>
          <w:lang w:bidi="ar-SA"/>
        </w:rPr>
        <w:t xml:space="preserve">Our search identified published research using search terms related to galacto-oligosaccharides and, blood glucose or insulin. The applicant identified one further study (Pedersen et al. 2016). Four studies are relevant (van Dokkum et al. 1999, Vulevic et al. 2013, Pedersen et al. 2016, and Canfora et al. 2017). </w:t>
      </w:r>
      <w:r>
        <w:rPr>
          <w:rFonts w:cs="Arial"/>
          <w:szCs w:val="22"/>
        </w:rPr>
        <w:t xml:space="preserve">Data extraction, conversion, and analyses are explained in Table </w:t>
      </w:r>
      <w:r w:rsidR="00A65AE0">
        <w:rPr>
          <w:rFonts w:cs="Arial"/>
          <w:szCs w:val="22"/>
        </w:rPr>
        <w:t>4</w:t>
      </w:r>
      <w:r>
        <w:rPr>
          <w:rFonts w:cs="Arial"/>
          <w:szCs w:val="22"/>
        </w:rPr>
        <w:t xml:space="preserve"> footnotes and </w:t>
      </w:r>
      <w:r w:rsidR="0075189F">
        <w:rPr>
          <w:rFonts w:cs="Arial"/>
          <w:szCs w:val="22"/>
        </w:rPr>
        <w:t xml:space="preserve">Appendix </w:t>
      </w:r>
      <w:r>
        <w:rPr>
          <w:rFonts w:cs="Arial"/>
          <w:szCs w:val="22"/>
        </w:rPr>
        <w:t>Section 2.6.</w:t>
      </w:r>
    </w:p>
    <w:p w14:paraId="67D2BA81" w14:textId="3044551E" w:rsidR="006F44A7" w:rsidRDefault="006F44A7" w:rsidP="006F44A7">
      <w:pPr>
        <w:rPr>
          <w:lang w:bidi="ar-SA"/>
        </w:rPr>
      </w:pPr>
    </w:p>
    <w:p w14:paraId="48823491" w14:textId="77777777" w:rsidR="006F44A7" w:rsidRPr="006F44A7" w:rsidRDefault="006F44A7" w:rsidP="006F44A7">
      <w:pPr>
        <w:rPr>
          <w:lang w:bidi="ar-SA"/>
        </w:rPr>
      </w:pPr>
    </w:p>
    <w:p w14:paraId="5CCE83BA" w14:textId="553E2C33" w:rsidR="003D7003" w:rsidRDefault="00F73110" w:rsidP="0073104D">
      <w:pPr>
        <w:pStyle w:val="Heading2"/>
      </w:pPr>
      <w:bookmarkStart w:id="37" w:name="_Toc64561470"/>
      <w:bookmarkStart w:id="38" w:name="_Toc66868372"/>
      <w:r>
        <w:t>2.4.2</w:t>
      </w:r>
      <w:r w:rsidR="003D7003">
        <w:t xml:space="preserve"> Blood glucose: included studies’ methodology and results</w:t>
      </w:r>
      <w:bookmarkEnd w:id="37"/>
      <w:bookmarkEnd w:id="38"/>
    </w:p>
    <w:p w14:paraId="64526B5E" w14:textId="22921F18" w:rsidR="006F44A7" w:rsidRPr="004E01A6" w:rsidRDefault="006F44A7" w:rsidP="006F44A7">
      <w:pPr>
        <w:rPr>
          <w:rFonts w:cs="Arial"/>
          <w:highlight w:val="yellow"/>
        </w:rPr>
      </w:pPr>
      <w:r>
        <w:rPr>
          <w:lang w:bidi="ar-SA"/>
        </w:rPr>
        <w:t xml:space="preserve">A detailed review of the four studies is provided below and in Table </w:t>
      </w:r>
      <w:r w:rsidR="004C293F">
        <w:rPr>
          <w:lang w:bidi="ar-SA"/>
        </w:rPr>
        <w:t>7</w:t>
      </w:r>
      <w:r w:rsidR="008A21FD">
        <w:rPr>
          <w:lang w:bidi="ar-SA"/>
        </w:rPr>
        <w:t xml:space="preserve"> (</w:t>
      </w:r>
      <w:r w:rsidR="008A21FD">
        <w:rPr>
          <w:rFonts w:cs="Arial"/>
          <w:szCs w:val="22"/>
        </w:rPr>
        <w:t>Appendix Section 2.5</w:t>
      </w:r>
      <w:r w:rsidR="008A21FD">
        <w:rPr>
          <w:lang w:bidi="ar-SA"/>
        </w:rPr>
        <w:t>)</w:t>
      </w:r>
      <w:r>
        <w:rPr>
          <w:lang w:bidi="ar-SA"/>
        </w:rPr>
        <w:t>.</w:t>
      </w:r>
    </w:p>
    <w:p w14:paraId="48EDEC0F" w14:textId="77777777" w:rsidR="006F44A7" w:rsidRDefault="006F44A7" w:rsidP="006F44A7">
      <w:pPr>
        <w:rPr>
          <w:b/>
          <w:lang w:bidi="ar-SA"/>
        </w:rPr>
      </w:pPr>
    </w:p>
    <w:p w14:paraId="6A85DF67" w14:textId="16D85A1F" w:rsidR="006F44A7" w:rsidRDefault="006F44A7" w:rsidP="006F44A7">
      <w:pPr>
        <w:rPr>
          <w:rFonts w:cs="Arial"/>
        </w:rPr>
      </w:pPr>
      <w:r>
        <w:rPr>
          <w:lang w:bidi="ar-SA"/>
        </w:rPr>
        <w:t xml:space="preserve">The study designed by van Dokkum et al. (1999) has been summarised in </w:t>
      </w:r>
      <w:r w:rsidR="0075189F">
        <w:rPr>
          <w:lang w:bidi="ar-SA"/>
        </w:rPr>
        <w:t xml:space="preserve">Appendix </w:t>
      </w:r>
      <w:r>
        <w:rPr>
          <w:lang w:bidi="ar-SA"/>
        </w:rPr>
        <w:t xml:space="preserve">Section 2.2.2. With regards to blood glucose, participants’ baseline blood glucose and insulin concentrations were not reported although authors report that participants had “normal health” as assessed using a medical history, clinical laboratory tests, and vital signs. In the third week of the 3-week treatment period and after an overnight fast, participants’ glucose and insulin response to an oral glucose tolerance test was measured using five time points (0, 30, 60, 90, and 120 minutes). The comparison was a glucose test solution (50 g of glucose) with 5 g of </w:t>
      </w:r>
      <w:r w:rsidR="00C92EF1">
        <w:rPr>
          <w:lang w:bidi="ar-SA"/>
        </w:rPr>
        <w:t>GOS</w:t>
      </w:r>
      <w:r>
        <w:rPr>
          <w:lang w:bidi="ar-SA"/>
        </w:rPr>
        <w:t xml:space="preserve"> or no non-digestible oligosaccharides (control). Neither the mean blood </w:t>
      </w:r>
      <w:r w:rsidRPr="00477BD0">
        <w:rPr>
          <w:lang w:bidi="ar-SA"/>
        </w:rPr>
        <w:t>glucose or insulin response (including the fasted value at the time point, 0 minutes) were statistically significantly (</w:t>
      </w:r>
      <w:r w:rsidRPr="00477BD0">
        <w:rPr>
          <w:i/>
          <w:lang w:bidi="ar-SA"/>
        </w:rPr>
        <w:t>P</w:t>
      </w:r>
      <w:r w:rsidRPr="00477BD0">
        <w:rPr>
          <w:lang w:bidi="ar-SA"/>
        </w:rPr>
        <w:t xml:space="preserve">&gt;0.05) different between the </w:t>
      </w:r>
      <w:r w:rsidR="00C92EF1">
        <w:rPr>
          <w:lang w:bidi="ar-SA"/>
        </w:rPr>
        <w:t>GOS</w:t>
      </w:r>
      <w:r w:rsidRPr="00477BD0">
        <w:rPr>
          <w:lang w:bidi="ar-SA"/>
        </w:rPr>
        <w:t xml:space="preserve"> and control condition</w:t>
      </w:r>
      <w:r>
        <w:rPr>
          <w:lang w:bidi="ar-SA"/>
        </w:rPr>
        <w:t xml:space="preserve"> </w:t>
      </w:r>
      <w:r w:rsidRPr="00C102AB">
        <w:rPr>
          <w:lang w:bidi="ar-SA"/>
        </w:rPr>
        <w:t>at the end of the 21-day treatment period.</w:t>
      </w:r>
      <w:r w:rsidRPr="00333817">
        <w:rPr>
          <w:lang w:bidi="ar-SA"/>
        </w:rPr>
        <w:t xml:space="preserve"> </w:t>
      </w:r>
      <w:r>
        <w:rPr>
          <w:lang w:bidi="ar-SA"/>
        </w:rPr>
        <w:t xml:space="preserve">In this sample of healthy </w:t>
      </w:r>
      <w:r w:rsidRPr="003D4ECA">
        <w:rPr>
          <w:lang w:bidi="ar-SA"/>
        </w:rPr>
        <w:t>adult males</w:t>
      </w:r>
      <w:r w:rsidRPr="003D4ECA">
        <w:rPr>
          <w:rFonts w:cs="Arial"/>
          <w:szCs w:val="22"/>
          <w:lang w:bidi="ar-SA"/>
        </w:rPr>
        <w:t>,</w:t>
      </w:r>
      <w:r w:rsidRPr="003D4ECA">
        <w:rPr>
          <w:lang w:bidi="ar-SA"/>
        </w:rPr>
        <w:t xml:space="preserve"> n</w:t>
      </w:r>
      <w:r w:rsidRPr="003D4ECA">
        <w:rPr>
          <w:rFonts w:cs="Arial"/>
        </w:rPr>
        <w:t>o effect on blood glucose</w:t>
      </w:r>
      <w:r>
        <w:rPr>
          <w:rFonts w:cs="Arial"/>
        </w:rPr>
        <w:t xml:space="preserve"> or insulin</w:t>
      </w:r>
      <w:r w:rsidRPr="003D4ECA">
        <w:rPr>
          <w:rFonts w:cs="Arial"/>
        </w:rPr>
        <w:t xml:space="preserve"> was found with a </w:t>
      </w:r>
      <w:r>
        <w:rPr>
          <w:rFonts w:cs="Arial"/>
        </w:rPr>
        <w:t xml:space="preserve">high </w:t>
      </w:r>
      <w:r w:rsidR="00C92EF1">
        <w:rPr>
          <w:rFonts w:cs="Arial"/>
        </w:rPr>
        <w:t>GOS</w:t>
      </w:r>
      <w:r w:rsidRPr="003D4ECA">
        <w:rPr>
          <w:rFonts w:cs="Arial"/>
        </w:rPr>
        <w:t xml:space="preserve"> intake of 15 g</w:t>
      </w:r>
      <w:r>
        <w:rPr>
          <w:rFonts w:cs="Arial"/>
        </w:rPr>
        <w:t>/day</w:t>
      </w:r>
      <w:r w:rsidRPr="003D4ECA">
        <w:rPr>
          <w:rFonts w:cs="Arial"/>
        </w:rPr>
        <w:t xml:space="preserve"> over</w:t>
      </w:r>
      <w:r>
        <w:rPr>
          <w:rFonts w:cs="Arial"/>
        </w:rPr>
        <w:t xml:space="preserve"> three weeks.</w:t>
      </w:r>
    </w:p>
    <w:p w14:paraId="710ED642" w14:textId="778C4FFB" w:rsidR="00515599" w:rsidRDefault="00515599" w:rsidP="006F44A7">
      <w:pPr>
        <w:rPr>
          <w:lang w:bidi="ar-SA"/>
        </w:rPr>
      </w:pPr>
    </w:p>
    <w:p w14:paraId="3498CFAB" w14:textId="20673716" w:rsidR="006B4D80" w:rsidRPr="00F82624" w:rsidRDefault="006B4D80" w:rsidP="006B4D80">
      <w:pPr>
        <w:rPr>
          <w:rFonts w:cs="Arial"/>
          <w:szCs w:val="22"/>
          <w:lang w:bidi="ar-SA"/>
        </w:rPr>
      </w:pPr>
      <w:r w:rsidRPr="006F6550">
        <w:rPr>
          <w:lang w:bidi="ar-SA"/>
        </w:rPr>
        <w:t xml:space="preserve">The study conducted by Vulevic et al. (2013) has been described in </w:t>
      </w:r>
      <w:r w:rsidR="0075189F">
        <w:rPr>
          <w:lang w:bidi="ar-SA"/>
        </w:rPr>
        <w:t xml:space="preserve">Appendix </w:t>
      </w:r>
      <w:r w:rsidRPr="006F6550">
        <w:rPr>
          <w:lang w:bidi="ar-SA"/>
        </w:rPr>
        <w:t xml:space="preserve">Section 2.3.2. </w:t>
      </w:r>
      <w:r w:rsidRPr="006F6550">
        <w:rPr>
          <w:rFonts w:cs="Arial"/>
        </w:rPr>
        <w:t>Participants were included in the study if they</w:t>
      </w:r>
      <w:r w:rsidRPr="006F6550">
        <w:rPr>
          <w:lang w:bidi="ar-SA"/>
        </w:rPr>
        <w:t xml:space="preserve"> were aged 18 to 65 years, had a body mass </w:t>
      </w:r>
      <w:r w:rsidRPr="001A682E">
        <w:rPr>
          <w:lang w:bidi="ar-SA"/>
        </w:rPr>
        <w:t>index &gt;25 kg/m</w:t>
      </w:r>
      <w:r w:rsidRPr="001A682E">
        <w:rPr>
          <w:vertAlign w:val="superscript"/>
          <w:lang w:bidi="ar-SA"/>
        </w:rPr>
        <w:t>2</w:t>
      </w:r>
      <w:r w:rsidRPr="001A682E">
        <w:rPr>
          <w:lang w:bidi="ar-SA"/>
        </w:rPr>
        <w:t>, and</w:t>
      </w:r>
      <w:r w:rsidRPr="001A682E">
        <w:rPr>
          <w:rFonts w:cs="Arial"/>
        </w:rPr>
        <w:t xml:space="preserve"> had three or more metabolic risk </w:t>
      </w:r>
      <w:r w:rsidRPr="006F6550">
        <w:rPr>
          <w:rFonts w:cs="Arial"/>
        </w:rPr>
        <w:t xml:space="preserve">factors, one of which could be a </w:t>
      </w:r>
      <w:r w:rsidRPr="006F6550">
        <w:rPr>
          <w:rFonts w:cs="Arial"/>
          <w:szCs w:val="22"/>
          <w:lang w:bidi="ar-SA"/>
        </w:rPr>
        <w:t>fasting glucose of &gt;5.6 mmol/L (see Section 1.3.1 for other factors’ thresholds). Extensive inclusion and exclusion criteria are stated, such as, excluding volunteers with</w:t>
      </w:r>
      <w:r w:rsidR="00621B49">
        <w:rPr>
          <w:rFonts w:cs="Arial"/>
          <w:szCs w:val="22"/>
          <w:lang w:bidi="ar-SA"/>
        </w:rPr>
        <w:t>:</w:t>
      </w:r>
      <w:r w:rsidRPr="006F6550">
        <w:rPr>
          <w:rFonts w:cs="Arial"/>
          <w:szCs w:val="22"/>
          <w:lang w:bidi="ar-SA"/>
        </w:rPr>
        <w:t xml:space="preserve"> diagnosed diabetes, with a fasting glucose &gt;7 mmol/L, with other endocrine </w:t>
      </w:r>
      <w:r w:rsidRPr="001A682E">
        <w:rPr>
          <w:rFonts w:cs="Arial"/>
          <w:szCs w:val="22"/>
          <w:lang w:bidi="ar-SA"/>
        </w:rPr>
        <w:t xml:space="preserve">disorders, or </w:t>
      </w:r>
      <w:r w:rsidRPr="001A682E">
        <w:t xml:space="preserve">trying or intending </w:t>
      </w:r>
      <w:r w:rsidRPr="006F6550">
        <w:t>to complete a weight loss regime (</w:t>
      </w:r>
      <w:r w:rsidRPr="006F6550">
        <w:rPr>
          <w:rFonts w:cs="Arial"/>
          <w:szCs w:val="22"/>
          <w:lang w:bidi="ar-SA"/>
        </w:rPr>
        <w:t xml:space="preserve">and Sections 1.3.1 and 2.3.2 for other criteria). </w:t>
      </w:r>
      <w:r w:rsidRPr="006F6550">
        <w:rPr>
          <w:lang w:bidi="ar-SA"/>
        </w:rPr>
        <w:t>Participants’ baseline values indicate</w:t>
      </w:r>
      <w:r w:rsidR="00621B49">
        <w:rPr>
          <w:lang w:bidi="ar-SA"/>
        </w:rPr>
        <w:t>d</w:t>
      </w:r>
      <w:r w:rsidRPr="006F6550">
        <w:rPr>
          <w:lang w:bidi="ar-SA"/>
        </w:rPr>
        <w:t xml:space="preserve"> some impaired glucose metabolism: </w:t>
      </w:r>
      <w:r w:rsidRPr="006F6550">
        <w:rPr>
          <w:rFonts w:cs="Arial"/>
          <w:szCs w:val="22"/>
          <w:lang w:bidi="ar-SA"/>
        </w:rPr>
        <w:t xml:space="preserve">78% had plasma insulin concentrations &gt;40 pmol/L; and, 27% had plasma glucose concentrations &gt;5.6 mmol/L. </w:t>
      </w:r>
      <w:r w:rsidRPr="006F6550">
        <w:rPr>
          <w:lang w:bidi="ar-SA"/>
        </w:rPr>
        <w:t xml:space="preserve">Plasma glucose concentration did not significantly differ between </w:t>
      </w:r>
      <w:r w:rsidRPr="00F82624">
        <w:rPr>
          <w:lang w:bidi="ar-SA"/>
        </w:rPr>
        <w:t>the two conditions at baseline, week 6 or week 12. Plasma insulin concentration was not statistically different between conditions at baseline (</w:t>
      </w:r>
      <w:r w:rsidRPr="00F82624">
        <w:rPr>
          <w:i/>
          <w:lang w:bidi="ar-SA"/>
        </w:rPr>
        <w:t xml:space="preserve">P </w:t>
      </w:r>
      <w:r w:rsidRPr="00F82624">
        <w:rPr>
          <w:lang w:bidi="ar-SA"/>
        </w:rPr>
        <w:t xml:space="preserve">value </w:t>
      </w:r>
      <w:r w:rsidRPr="00F82624">
        <w:t>not stated)</w:t>
      </w:r>
      <w:r w:rsidRPr="00F82624">
        <w:rPr>
          <w:lang w:bidi="ar-SA"/>
        </w:rPr>
        <w:t xml:space="preserve"> or week 6 (</w:t>
      </w:r>
      <w:r w:rsidRPr="00F82624">
        <w:rPr>
          <w:i/>
          <w:lang w:bidi="ar-SA"/>
        </w:rPr>
        <w:t>P</w:t>
      </w:r>
      <w:r w:rsidRPr="00F82624">
        <w:rPr>
          <w:lang w:bidi="ar-SA"/>
        </w:rPr>
        <w:t>=0.00</w:t>
      </w:r>
      <w:r w:rsidRPr="00BE3200">
        <w:rPr>
          <w:lang w:bidi="ar-SA"/>
        </w:rPr>
        <w:t>8</w:t>
      </w:r>
      <w:r w:rsidRPr="00BE3200">
        <w:rPr>
          <w:vertAlign w:val="superscript"/>
          <w:lang w:bidi="ar-SA"/>
        </w:rPr>
        <w:t>4</w:t>
      </w:r>
      <w:r w:rsidRPr="00BE3200">
        <w:rPr>
          <w:lang w:bidi="ar-SA"/>
        </w:rPr>
        <w:t>)</w:t>
      </w:r>
      <w:r w:rsidRPr="00F82624">
        <w:rPr>
          <w:lang w:bidi="ar-SA"/>
        </w:rPr>
        <w:t xml:space="preserve"> and was lower in the </w:t>
      </w:r>
      <w:r w:rsidR="00C92EF1">
        <w:rPr>
          <w:rFonts w:cs="Arial"/>
        </w:rPr>
        <w:t>GOS</w:t>
      </w:r>
      <w:r w:rsidRPr="00F82624">
        <w:rPr>
          <w:rFonts w:cs="Arial"/>
        </w:rPr>
        <w:t xml:space="preserve"> </w:t>
      </w:r>
      <w:r w:rsidRPr="00F82624">
        <w:rPr>
          <w:lang w:bidi="ar-SA"/>
        </w:rPr>
        <w:t>condition at week 12 (</w:t>
      </w:r>
      <w:r w:rsidRPr="00F82624">
        <w:rPr>
          <w:i/>
          <w:lang w:bidi="ar-SA"/>
        </w:rPr>
        <w:t>P</w:t>
      </w:r>
      <w:r w:rsidRPr="00F82624">
        <w:rPr>
          <w:lang w:bidi="ar-SA"/>
        </w:rPr>
        <w:t>&lt;0.005</w:t>
      </w:r>
      <w:r w:rsidRPr="00F82624">
        <w:rPr>
          <w:rStyle w:val="FootnoteReference"/>
          <w:lang w:bidi="ar-SA"/>
        </w:rPr>
        <w:footnoteReference w:id="5"/>
      </w:r>
      <w:r w:rsidRPr="00F82624">
        <w:rPr>
          <w:lang w:bidi="ar-SA"/>
        </w:rPr>
        <w:t xml:space="preserve">; exact </w:t>
      </w:r>
      <w:r w:rsidRPr="00F82624">
        <w:rPr>
          <w:i/>
          <w:lang w:bidi="ar-SA"/>
        </w:rPr>
        <w:t>P</w:t>
      </w:r>
      <w:r w:rsidRPr="00F82624">
        <w:rPr>
          <w:lang w:bidi="ar-SA"/>
        </w:rPr>
        <w:t xml:space="preserve"> value not stated). In this sample of adults with metabolic risk factors</w:t>
      </w:r>
      <w:r w:rsidRPr="00F82624">
        <w:rPr>
          <w:rFonts w:cs="Arial"/>
          <w:szCs w:val="22"/>
          <w:lang w:bidi="ar-SA"/>
        </w:rPr>
        <w:t>,</w:t>
      </w:r>
      <w:r w:rsidRPr="00F82624">
        <w:rPr>
          <w:lang w:bidi="ar-SA"/>
        </w:rPr>
        <w:t xml:space="preserve"> n</w:t>
      </w:r>
      <w:r w:rsidRPr="00F82624">
        <w:rPr>
          <w:rFonts w:cs="Arial"/>
        </w:rPr>
        <w:t xml:space="preserve">o effect on blood glucose was found with a low </w:t>
      </w:r>
      <w:r w:rsidR="00C92EF1">
        <w:rPr>
          <w:rFonts w:cs="Arial"/>
        </w:rPr>
        <w:t>GOS</w:t>
      </w:r>
      <w:r w:rsidRPr="00F82624">
        <w:rPr>
          <w:rFonts w:cs="Arial"/>
        </w:rPr>
        <w:t xml:space="preserve"> intake of 2.6 g/day over 12 weeks.</w:t>
      </w:r>
    </w:p>
    <w:p w14:paraId="5C944868" w14:textId="1B82FD04" w:rsidR="00515599" w:rsidRDefault="00515599" w:rsidP="00515599">
      <w:pPr>
        <w:rPr>
          <w:rFonts w:cs="Arial"/>
        </w:rPr>
      </w:pPr>
    </w:p>
    <w:p w14:paraId="17FACC5F" w14:textId="698166BF" w:rsidR="00515599" w:rsidRPr="00406D9C" w:rsidRDefault="00402CAD" w:rsidP="00515599">
      <w:pPr>
        <w:rPr>
          <w:rFonts w:cs="Arial"/>
          <w:color w:val="FF0000"/>
          <w:szCs w:val="22"/>
        </w:rPr>
      </w:pPr>
      <w:r w:rsidRPr="003D1BCC">
        <w:rPr>
          <w:lang w:bidi="ar-SA"/>
        </w:rPr>
        <w:t xml:space="preserve">The design of the study conducted by Pedersen et al. (2016) has been summarised in </w:t>
      </w:r>
      <w:r w:rsidR="0075189F">
        <w:rPr>
          <w:lang w:bidi="ar-SA"/>
        </w:rPr>
        <w:t xml:space="preserve">Appendix </w:t>
      </w:r>
      <w:r w:rsidRPr="003D1BCC">
        <w:rPr>
          <w:lang w:bidi="ar-SA"/>
        </w:rPr>
        <w:t xml:space="preserve">Section 2.3.2. </w:t>
      </w:r>
      <w:r w:rsidRPr="0041089B">
        <w:rPr>
          <w:lang w:bidi="ar-SA"/>
        </w:rPr>
        <w:t xml:space="preserve">None of the glucose </w:t>
      </w:r>
      <w:r>
        <w:rPr>
          <w:lang w:bidi="ar-SA"/>
        </w:rPr>
        <w:t xml:space="preserve">tolerance </w:t>
      </w:r>
      <w:r w:rsidRPr="0041089B">
        <w:rPr>
          <w:lang w:bidi="ar-SA"/>
        </w:rPr>
        <w:t xml:space="preserve">related outcomes were significantly different between the two conditions at baseline (all </w:t>
      </w:r>
      <w:r w:rsidRPr="0041089B">
        <w:rPr>
          <w:i/>
          <w:lang w:bidi="ar-SA"/>
        </w:rPr>
        <w:t>P</w:t>
      </w:r>
      <w:r w:rsidRPr="0041089B">
        <w:rPr>
          <w:rFonts w:cs="Arial"/>
          <w:lang w:bidi="ar-SA"/>
        </w:rPr>
        <w:t>&gt;</w:t>
      </w:r>
      <w:r w:rsidRPr="0041089B">
        <w:rPr>
          <w:lang w:bidi="ar-SA"/>
        </w:rPr>
        <w:t>0.05). None of the out</w:t>
      </w:r>
      <w:r w:rsidRPr="0041089B">
        <w:rPr>
          <w:lang w:bidi="ar-SA"/>
        </w:rPr>
        <w:lastRenderedPageBreak/>
        <w:t>comes were significantly different between the two conditions over the 12 weeks: fasting glucose (</w:t>
      </w:r>
      <w:r w:rsidRPr="0041089B">
        <w:rPr>
          <w:i/>
          <w:lang w:bidi="ar-SA"/>
        </w:rPr>
        <w:t>P</w:t>
      </w:r>
      <w:r w:rsidRPr="0041089B">
        <w:rPr>
          <w:lang w:bidi="ar-SA"/>
        </w:rPr>
        <w:t>=0.227); fasting insulin (</w:t>
      </w:r>
      <w:r w:rsidRPr="0041089B">
        <w:rPr>
          <w:i/>
          <w:lang w:bidi="ar-SA"/>
        </w:rPr>
        <w:t>P</w:t>
      </w:r>
      <w:r w:rsidRPr="0041089B">
        <w:rPr>
          <w:lang w:bidi="ar-SA"/>
        </w:rPr>
        <w:t>=0.543); glycosylated haemoglobin (HbA</w:t>
      </w:r>
      <w:r w:rsidRPr="0041089B">
        <w:rPr>
          <w:vertAlign w:val="subscript"/>
          <w:lang w:bidi="ar-SA"/>
        </w:rPr>
        <w:t>1c</w:t>
      </w:r>
      <w:r w:rsidRPr="0041089B">
        <w:rPr>
          <w:lang w:bidi="ar-SA"/>
        </w:rPr>
        <w:t xml:space="preserve">; </w:t>
      </w:r>
      <w:r w:rsidRPr="0041089B">
        <w:rPr>
          <w:i/>
          <w:lang w:bidi="ar-SA"/>
        </w:rPr>
        <w:t xml:space="preserve">P </w:t>
      </w:r>
      <w:r w:rsidRPr="0041089B">
        <w:rPr>
          <w:lang w:bidi="ar-SA"/>
        </w:rPr>
        <w:t xml:space="preserve">value not provided when using ‘%’ units, and are </w:t>
      </w:r>
      <w:r w:rsidRPr="0041089B">
        <w:rPr>
          <w:i/>
          <w:lang w:bidi="ar-SA"/>
        </w:rPr>
        <w:t>P</w:t>
      </w:r>
      <w:r w:rsidRPr="0041089B">
        <w:rPr>
          <w:lang w:bidi="ar-SA"/>
        </w:rPr>
        <w:t>=0.946 when reported using the units, ‘mmol/mol’); HOMA-IR (</w:t>
      </w:r>
      <w:r w:rsidRPr="0041089B">
        <w:rPr>
          <w:i/>
          <w:lang w:bidi="ar-SA"/>
        </w:rPr>
        <w:t>P</w:t>
      </w:r>
      <w:r w:rsidRPr="0041089B">
        <w:rPr>
          <w:lang w:bidi="ar-SA"/>
        </w:rPr>
        <w:t>=0.199); HOMA for insulin sensitivity (</w:t>
      </w:r>
      <w:r w:rsidRPr="0041089B">
        <w:rPr>
          <w:i/>
          <w:lang w:bidi="ar-SA"/>
        </w:rPr>
        <w:t>P</w:t>
      </w:r>
      <w:r w:rsidRPr="0041089B">
        <w:rPr>
          <w:lang w:bidi="ar-SA"/>
        </w:rPr>
        <w:t>=0.21</w:t>
      </w:r>
      <w:r w:rsidR="00A151E4">
        <w:rPr>
          <w:lang w:bidi="ar-SA"/>
        </w:rPr>
        <w:t>5</w:t>
      </w:r>
      <w:r w:rsidRPr="0041089B">
        <w:rPr>
          <w:lang w:bidi="ar-SA"/>
        </w:rPr>
        <w:t xml:space="preserve">); HOMA for </w:t>
      </w:r>
      <w:r w:rsidRPr="0041089B">
        <w:rPr>
          <w:rFonts w:cs="Arial"/>
          <w:i/>
          <w:lang w:bidi="ar-SA"/>
        </w:rPr>
        <w:t>β</w:t>
      </w:r>
      <w:r w:rsidRPr="0041089B">
        <w:rPr>
          <w:rFonts w:cs="Arial"/>
          <w:lang w:bidi="ar-SA"/>
        </w:rPr>
        <w:t>-</w:t>
      </w:r>
      <w:r w:rsidRPr="0041089B">
        <w:rPr>
          <w:lang w:bidi="ar-SA"/>
        </w:rPr>
        <w:t>cell function (</w:t>
      </w:r>
      <w:r w:rsidRPr="0041089B">
        <w:rPr>
          <w:i/>
          <w:lang w:bidi="ar-SA"/>
        </w:rPr>
        <w:t>P</w:t>
      </w:r>
      <w:r w:rsidRPr="0041089B">
        <w:rPr>
          <w:lang w:bidi="ar-SA"/>
        </w:rPr>
        <w:t>=0.362); and, the postprandial glucose (</w:t>
      </w:r>
      <w:r w:rsidRPr="0041089B">
        <w:rPr>
          <w:i/>
          <w:lang w:bidi="ar-SA"/>
        </w:rPr>
        <w:t>P</w:t>
      </w:r>
      <w:r w:rsidRPr="0041089B">
        <w:rPr>
          <w:lang w:bidi="ar-SA"/>
        </w:rPr>
        <w:t xml:space="preserve">=0.485 for total AUC and </w:t>
      </w:r>
      <w:r w:rsidRPr="0041089B">
        <w:rPr>
          <w:i/>
          <w:lang w:bidi="ar-SA"/>
        </w:rPr>
        <w:t>P</w:t>
      </w:r>
      <w:r w:rsidRPr="0041089B">
        <w:rPr>
          <w:lang w:bidi="ar-SA"/>
        </w:rPr>
        <w:t>=0.221 for incremental AUC over 180 minutes) and postprandial insulin (</w:t>
      </w:r>
      <w:r w:rsidRPr="0041089B">
        <w:rPr>
          <w:i/>
          <w:lang w:bidi="ar-SA"/>
        </w:rPr>
        <w:t>P</w:t>
      </w:r>
      <w:r w:rsidRPr="0041089B">
        <w:rPr>
          <w:lang w:bidi="ar-SA"/>
        </w:rPr>
        <w:t xml:space="preserve">=0.112 for total AUC and </w:t>
      </w:r>
      <w:r w:rsidRPr="0041089B">
        <w:rPr>
          <w:i/>
          <w:lang w:bidi="ar-SA"/>
        </w:rPr>
        <w:t>P</w:t>
      </w:r>
      <w:r w:rsidRPr="0041089B">
        <w:rPr>
          <w:lang w:bidi="ar-SA"/>
        </w:rPr>
        <w:t xml:space="preserve">=0.171 for incremental AUC over 180 minutes) response </w:t>
      </w:r>
      <w:r w:rsidRPr="005150BC">
        <w:rPr>
          <w:lang w:bidi="ar-SA"/>
        </w:rPr>
        <w:t xml:space="preserve">to an insulin-modified intravenous </w:t>
      </w:r>
      <w:r w:rsidR="00C254B5">
        <w:rPr>
          <w:lang w:bidi="ar-SA"/>
        </w:rPr>
        <w:t xml:space="preserve">glucose tolerance test. </w:t>
      </w:r>
      <w:r w:rsidR="00F55462" w:rsidRPr="00F41EA9">
        <w:rPr>
          <w:lang w:bidi="ar-SA"/>
        </w:rPr>
        <w:t>Fasting glucose and postprandial insulin (incremental AUC) response to an insulin-modified intravenous glucose tolerance test are the only two outcomes with significant within-group change (</w:t>
      </w:r>
      <w:r w:rsidR="00F55462" w:rsidRPr="00F41EA9">
        <w:rPr>
          <w:i/>
          <w:lang w:bidi="ar-SA"/>
        </w:rPr>
        <w:t>P</w:t>
      </w:r>
      <w:r w:rsidR="00F55462" w:rsidRPr="00F41EA9">
        <w:rPr>
          <w:lang w:bidi="ar-SA"/>
        </w:rPr>
        <w:t xml:space="preserve">&lt;0.05); this occurred in the intervention condition only. </w:t>
      </w:r>
      <w:r w:rsidRPr="00F55462">
        <w:rPr>
          <w:lang w:bidi="ar-SA"/>
        </w:rPr>
        <w:t>Metformin</w:t>
      </w:r>
      <w:r w:rsidRPr="0041089B">
        <w:rPr>
          <w:lang w:bidi="ar-SA"/>
        </w:rPr>
        <w:t xml:space="preserve"> use was considered to be a confounding factor due to its effect on intestinal bacterial populations but a subgroup analysis was not possible because 13 of 14 participants in the </w:t>
      </w:r>
      <w:r w:rsidR="00C92EF1">
        <w:rPr>
          <w:rFonts w:cs="Arial"/>
          <w:szCs w:val="22"/>
        </w:rPr>
        <w:t>GOS</w:t>
      </w:r>
      <w:r w:rsidRPr="0041089B">
        <w:rPr>
          <w:lang w:bidi="ar-SA"/>
        </w:rPr>
        <w:t xml:space="preserve"> condition were using metformin. </w:t>
      </w:r>
      <w:r w:rsidRPr="0041089B">
        <w:rPr>
          <w:szCs w:val="22"/>
          <w:lang w:bidi="ar-SA"/>
        </w:rPr>
        <w:t xml:space="preserve">In this sample of males </w:t>
      </w:r>
      <w:r w:rsidRPr="0041089B">
        <w:rPr>
          <w:szCs w:val="22"/>
        </w:rPr>
        <w:t xml:space="preserve">with well-controlled type 2 diabetes mellitus, </w:t>
      </w:r>
      <w:r w:rsidRPr="0041089B">
        <w:rPr>
          <w:szCs w:val="22"/>
          <w:lang w:bidi="ar-SA"/>
        </w:rPr>
        <w:t>n</w:t>
      </w:r>
      <w:r w:rsidRPr="0041089B">
        <w:rPr>
          <w:rFonts w:cs="Arial"/>
          <w:szCs w:val="22"/>
        </w:rPr>
        <w:t>o effect on blood g</w:t>
      </w:r>
      <w:r w:rsidRPr="00402CAD">
        <w:rPr>
          <w:rFonts w:cs="Arial"/>
          <w:szCs w:val="22"/>
        </w:rPr>
        <w:t xml:space="preserve">lucose was found with a low </w:t>
      </w:r>
      <w:r w:rsidR="00C92EF1">
        <w:rPr>
          <w:rFonts w:cs="Arial"/>
          <w:szCs w:val="22"/>
        </w:rPr>
        <w:t>GOS</w:t>
      </w:r>
      <w:r w:rsidRPr="00402CAD">
        <w:rPr>
          <w:rFonts w:cs="Arial"/>
          <w:szCs w:val="22"/>
        </w:rPr>
        <w:t xml:space="preserve"> intake of </w:t>
      </w:r>
      <w:r w:rsidRPr="00402CAD">
        <w:rPr>
          <w:rFonts w:cs="Arial"/>
        </w:rPr>
        <w:t xml:space="preserve">2.6 </w:t>
      </w:r>
      <w:r w:rsidRPr="00402CAD">
        <w:rPr>
          <w:rFonts w:cs="Arial"/>
          <w:szCs w:val="22"/>
        </w:rPr>
        <w:t xml:space="preserve">g/day over </w:t>
      </w:r>
      <w:r w:rsidR="00515599" w:rsidRPr="00402CAD">
        <w:rPr>
          <w:rFonts w:cs="Arial"/>
          <w:szCs w:val="22"/>
        </w:rPr>
        <w:t>12 weeks.</w:t>
      </w:r>
    </w:p>
    <w:p w14:paraId="094B2C9E" w14:textId="77777777" w:rsidR="00515599" w:rsidRDefault="00515599" w:rsidP="00515599">
      <w:pPr>
        <w:rPr>
          <w:lang w:bidi="ar-SA"/>
        </w:rPr>
      </w:pPr>
    </w:p>
    <w:p w14:paraId="55E19B91" w14:textId="7B8BBD02" w:rsidR="00515599" w:rsidRPr="00376A9F" w:rsidRDefault="00515599" w:rsidP="00515599">
      <w:pPr>
        <w:rPr>
          <w:rFonts w:cs="Arial"/>
        </w:rPr>
        <w:sectPr w:rsidR="00515599" w:rsidRPr="00376A9F" w:rsidSect="00783715">
          <w:pgSz w:w="11906" w:h="16838"/>
          <w:pgMar w:top="1418" w:right="1418" w:bottom="1418" w:left="1418" w:header="709" w:footer="709" w:gutter="0"/>
          <w:cols w:space="708"/>
          <w:docGrid w:linePitch="360"/>
        </w:sectPr>
      </w:pPr>
      <w:r>
        <w:rPr>
          <w:szCs w:val="22"/>
          <w:lang w:bidi="ar-SA"/>
        </w:rPr>
        <w:t xml:space="preserve">The study design of Canfora et al. (2017) has been described in </w:t>
      </w:r>
      <w:r w:rsidR="002D67B2">
        <w:rPr>
          <w:szCs w:val="22"/>
          <w:lang w:bidi="ar-SA"/>
        </w:rPr>
        <w:t>Appendix</w:t>
      </w:r>
      <w:r>
        <w:rPr>
          <w:szCs w:val="22"/>
          <w:lang w:bidi="ar-SA"/>
        </w:rPr>
        <w:t xml:space="preserve"> Section 2.3.2. Participants </w:t>
      </w:r>
      <w:r>
        <w:rPr>
          <w:lang w:bidi="ar-SA"/>
        </w:rPr>
        <w:t xml:space="preserve">had impaired fasting glucose or impaired glucose tolerance but volunteers diagnosed with diabetes or taking glucose-lowering medication were excluded. </w:t>
      </w:r>
      <w:r>
        <w:rPr>
          <w:szCs w:val="22"/>
          <w:lang w:bidi="ar-SA"/>
        </w:rPr>
        <w:t>With regards to blood glucose, b</w:t>
      </w:r>
      <w:r w:rsidRPr="000860FB">
        <w:rPr>
          <w:szCs w:val="22"/>
          <w:lang w:bidi="ar-SA"/>
        </w:rPr>
        <w:t>aseline values did not differ between conditions for glucose (</w:t>
      </w:r>
      <w:r w:rsidRPr="000860FB">
        <w:rPr>
          <w:i/>
          <w:szCs w:val="22"/>
          <w:lang w:bidi="ar-SA"/>
        </w:rPr>
        <w:t>P=</w:t>
      </w:r>
      <w:r w:rsidRPr="000860FB">
        <w:rPr>
          <w:szCs w:val="22"/>
          <w:lang w:bidi="ar-SA"/>
        </w:rPr>
        <w:t>0.095), insulin (</w:t>
      </w:r>
      <w:r w:rsidRPr="000860FB">
        <w:rPr>
          <w:i/>
          <w:szCs w:val="22"/>
          <w:lang w:bidi="ar-SA"/>
        </w:rPr>
        <w:t>P</w:t>
      </w:r>
      <w:r w:rsidRPr="000860FB">
        <w:rPr>
          <w:szCs w:val="22"/>
          <w:lang w:bidi="ar-SA"/>
        </w:rPr>
        <w:t>=0.721</w:t>
      </w:r>
      <w:r>
        <w:rPr>
          <w:rStyle w:val="FootnoteReference"/>
          <w:szCs w:val="22"/>
          <w:lang w:bidi="ar-SA"/>
        </w:rPr>
        <w:footnoteReference w:id="6"/>
      </w:r>
      <w:r w:rsidRPr="000860FB">
        <w:rPr>
          <w:szCs w:val="22"/>
          <w:lang w:bidi="ar-SA"/>
        </w:rPr>
        <w:t xml:space="preserve">), mean homeostatic model assessment of insulin resistance (HOMA-IR; </w:t>
      </w:r>
      <w:r w:rsidRPr="000860FB">
        <w:rPr>
          <w:i/>
          <w:szCs w:val="22"/>
          <w:lang w:bidi="ar-SA"/>
        </w:rPr>
        <w:t>P</w:t>
      </w:r>
      <w:r w:rsidRPr="000860FB">
        <w:rPr>
          <w:szCs w:val="22"/>
          <w:lang w:bidi="ar-SA"/>
        </w:rPr>
        <w:t>=0.829), glycated haemoglobin (HbA</w:t>
      </w:r>
      <w:r w:rsidRPr="000860FB">
        <w:rPr>
          <w:szCs w:val="22"/>
          <w:vertAlign w:val="subscript"/>
          <w:lang w:bidi="ar-SA"/>
        </w:rPr>
        <w:t>1c</w:t>
      </w:r>
      <w:r w:rsidRPr="000860FB">
        <w:rPr>
          <w:szCs w:val="22"/>
          <w:lang w:bidi="ar-SA"/>
        </w:rPr>
        <w:t xml:space="preserve">; </w:t>
      </w:r>
      <w:r w:rsidRPr="000860FB">
        <w:rPr>
          <w:i/>
          <w:szCs w:val="22"/>
          <w:lang w:bidi="ar-SA"/>
        </w:rPr>
        <w:t>P</w:t>
      </w:r>
      <w:r w:rsidRPr="000860FB">
        <w:rPr>
          <w:szCs w:val="22"/>
          <w:lang w:bidi="ar-SA"/>
        </w:rPr>
        <w:t xml:space="preserve">=0.509), </w:t>
      </w:r>
      <w:r>
        <w:rPr>
          <w:szCs w:val="22"/>
          <w:lang w:bidi="ar-SA"/>
        </w:rPr>
        <w:t>and</w:t>
      </w:r>
      <w:r w:rsidRPr="000860FB">
        <w:rPr>
          <w:szCs w:val="22"/>
          <w:lang w:bidi="ar-SA"/>
        </w:rPr>
        <w:t xml:space="preserve"> </w:t>
      </w:r>
      <w:r>
        <w:rPr>
          <w:szCs w:val="22"/>
          <w:lang w:bidi="ar-SA"/>
        </w:rPr>
        <w:t xml:space="preserve">a </w:t>
      </w:r>
      <w:r w:rsidRPr="000860FB">
        <w:rPr>
          <w:szCs w:val="22"/>
          <w:lang w:bidi="ar-SA"/>
        </w:rPr>
        <w:t xml:space="preserve">2 hour plasma </w:t>
      </w:r>
      <w:r>
        <w:rPr>
          <w:szCs w:val="22"/>
          <w:lang w:bidi="ar-SA"/>
        </w:rPr>
        <w:t xml:space="preserve">glucose response to an </w:t>
      </w:r>
      <w:r w:rsidRPr="000860FB">
        <w:rPr>
          <w:szCs w:val="22"/>
          <w:lang w:bidi="ar-SA"/>
        </w:rPr>
        <w:t>oral glucose tolerance test (OGTT</w:t>
      </w:r>
      <w:r>
        <w:rPr>
          <w:szCs w:val="22"/>
          <w:lang w:bidi="ar-SA"/>
        </w:rPr>
        <w:t>;</w:t>
      </w:r>
      <w:r w:rsidRPr="000860FB">
        <w:rPr>
          <w:szCs w:val="22"/>
          <w:lang w:bidi="ar-SA"/>
        </w:rPr>
        <w:t xml:space="preserve"> </w:t>
      </w:r>
      <w:r w:rsidRPr="000860FB">
        <w:rPr>
          <w:i/>
          <w:szCs w:val="22"/>
          <w:lang w:bidi="ar-SA"/>
        </w:rPr>
        <w:t>P</w:t>
      </w:r>
      <w:r w:rsidRPr="000860FB">
        <w:rPr>
          <w:szCs w:val="22"/>
          <w:lang w:bidi="ar-SA"/>
        </w:rPr>
        <w:t>=0.259).</w:t>
      </w:r>
      <w:r>
        <w:rPr>
          <w:szCs w:val="22"/>
          <w:lang w:bidi="ar-SA"/>
        </w:rPr>
        <w:t xml:space="preserve"> </w:t>
      </w:r>
      <w:r w:rsidRPr="000860FB">
        <w:rPr>
          <w:szCs w:val="22"/>
          <w:lang w:bidi="ar-SA"/>
        </w:rPr>
        <w:t>After a 12 hour fast, participants’ peripheral insulin sensitivity was measured by the one-step hyperinsulinemic-euglycemic clamp method and assessed</w:t>
      </w:r>
      <w:r>
        <w:rPr>
          <w:lang w:bidi="ar-SA"/>
        </w:rPr>
        <w:t xml:space="preserve"> by the M value. The M value (mg/kg/min) represents the mean glucose infusion rate over the last 30 minutes of euglycemia. Blood plasma was sampled during fasting (time: -5 min) and euglycemic (time: 90 and 120 min) periods of the hyperinsulinemic-euglycemic clamp, for additional outcomes. Adipose tissue insulin sensitivity was measured by insulin-stimulated suppression of circulating free fatty acids during steady-state clamp. After the 12-week period, no significant differences between groups over time were detected for peripheral insulin sensitivity (as assessed by the M value, </w:t>
      </w:r>
      <w:r>
        <w:rPr>
          <w:i/>
          <w:lang w:bidi="ar-SA"/>
        </w:rPr>
        <w:t>P</w:t>
      </w:r>
      <w:r w:rsidRPr="008C018A">
        <w:rPr>
          <w:lang w:bidi="ar-SA"/>
        </w:rPr>
        <w:t>=</w:t>
      </w:r>
      <w:r>
        <w:rPr>
          <w:lang w:bidi="ar-SA"/>
        </w:rPr>
        <w:t>0.467), HOMA-IR (</w:t>
      </w:r>
      <w:r>
        <w:rPr>
          <w:i/>
          <w:lang w:bidi="ar-SA"/>
        </w:rPr>
        <w:t>P</w:t>
      </w:r>
      <w:r w:rsidRPr="008C018A">
        <w:rPr>
          <w:lang w:bidi="ar-SA"/>
        </w:rPr>
        <w:t>=</w:t>
      </w:r>
      <w:r>
        <w:rPr>
          <w:lang w:bidi="ar-SA"/>
        </w:rPr>
        <w:t xml:space="preserve">0.598), and adipose tissue insulin sensitivity (as assessed by free fatty acid suppression; </w:t>
      </w:r>
      <w:r>
        <w:rPr>
          <w:i/>
          <w:lang w:bidi="ar-SA"/>
        </w:rPr>
        <w:t>P</w:t>
      </w:r>
      <w:r w:rsidRPr="003F1DCF">
        <w:rPr>
          <w:lang w:bidi="ar-SA"/>
        </w:rPr>
        <w:t>=</w:t>
      </w:r>
      <w:r>
        <w:rPr>
          <w:lang w:bidi="ar-SA"/>
        </w:rPr>
        <w:t>0.808). No significant differences between groups over time were found for fasting plasma glucose (</w:t>
      </w:r>
      <w:r>
        <w:rPr>
          <w:i/>
          <w:lang w:bidi="ar-SA"/>
        </w:rPr>
        <w:t>P</w:t>
      </w:r>
      <w:r w:rsidRPr="002F7124">
        <w:rPr>
          <w:lang w:bidi="ar-SA"/>
        </w:rPr>
        <w:t>=0.79</w:t>
      </w:r>
      <w:r w:rsidRPr="00406CD8">
        <w:rPr>
          <w:lang w:bidi="ar-SA"/>
        </w:rPr>
        <w:t>)</w:t>
      </w:r>
      <w:r>
        <w:rPr>
          <w:lang w:bidi="ar-SA"/>
        </w:rPr>
        <w:t xml:space="preserve"> and fasting insulin (</w:t>
      </w:r>
      <w:r>
        <w:rPr>
          <w:i/>
          <w:lang w:bidi="ar-SA"/>
        </w:rPr>
        <w:t>P</w:t>
      </w:r>
      <w:r w:rsidRPr="002F7124">
        <w:rPr>
          <w:lang w:bidi="ar-SA"/>
        </w:rPr>
        <w:t>=0.7</w:t>
      </w:r>
      <w:r>
        <w:rPr>
          <w:lang w:bidi="ar-SA"/>
        </w:rPr>
        <w:t>1</w:t>
      </w:r>
      <w:r w:rsidRPr="00406CD8">
        <w:rPr>
          <w:lang w:bidi="ar-SA"/>
        </w:rPr>
        <w:t>)</w:t>
      </w:r>
      <w:r>
        <w:rPr>
          <w:lang w:bidi="ar-SA"/>
        </w:rPr>
        <w:t xml:space="preserve">. </w:t>
      </w:r>
      <w:r w:rsidR="007F0E9F">
        <w:rPr>
          <w:lang w:bidi="ar-SA"/>
        </w:rPr>
        <w:t>Follow-up</w:t>
      </w:r>
      <w:r>
        <w:rPr>
          <w:lang w:bidi="ar-SA"/>
        </w:rPr>
        <w:t xml:space="preserve"> </w:t>
      </w:r>
      <w:r w:rsidRPr="002A61CE">
        <w:rPr>
          <w:lang w:bidi="ar-SA"/>
        </w:rPr>
        <w:t>values for glycated haemoglobin (HbA</w:t>
      </w:r>
      <w:r w:rsidRPr="002A61CE">
        <w:rPr>
          <w:vertAlign w:val="subscript"/>
          <w:lang w:bidi="ar-SA"/>
        </w:rPr>
        <w:t>1c</w:t>
      </w:r>
      <w:r w:rsidRPr="002A61CE">
        <w:rPr>
          <w:lang w:bidi="ar-SA"/>
        </w:rPr>
        <w:t xml:space="preserve">) and </w:t>
      </w:r>
      <w:r w:rsidR="009D26C3">
        <w:rPr>
          <w:lang w:bidi="ar-SA"/>
        </w:rPr>
        <w:t>glycaemic response to the OGTT we</w:t>
      </w:r>
      <w:r w:rsidRPr="002A61CE">
        <w:rPr>
          <w:lang w:bidi="ar-SA"/>
        </w:rPr>
        <w:t>re not reported</w:t>
      </w:r>
      <w:r>
        <w:rPr>
          <w:lang w:bidi="ar-SA"/>
        </w:rPr>
        <w:t>; i</w:t>
      </w:r>
      <w:r w:rsidRPr="002A61CE">
        <w:rPr>
          <w:lang w:bidi="ar-SA"/>
        </w:rPr>
        <w:t>t is likely that these were assessed for screening purposes only.</w:t>
      </w:r>
      <w:r>
        <w:rPr>
          <w:lang w:bidi="ar-SA"/>
        </w:rPr>
        <w:t xml:space="preserve"> In this s</w:t>
      </w:r>
      <w:r w:rsidRPr="003D4ECA">
        <w:rPr>
          <w:lang w:bidi="ar-SA"/>
        </w:rPr>
        <w:t>ample of adults with impaired fasting glucose or impaired glucose tolerance</w:t>
      </w:r>
      <w:r w:rsidRPr="003D4ECA">
        <w:rPr>
          <w:rFonts w:cs="Arial"/>
          <w:szCs w:val="22"/>
          <w:lang w:bidi="ar-SA"/>
        </w:rPr>
        <w:t>,</w:t>
      </w:r>
      <w:r w:rsidRPr="003D4ECA">
        <w:rPr>
          <w:lang w:bidi="ar-SA"/>
        </w:rPr>
        <w:t xml:space="preserve"> n</w:t>
      </w:r>
      <w:r w:rsidRPr="003D4ECA">
        <w:rPr>
          <w:rFonts w:cs="Arial"/>
        </w:rPr>
        <w:t xml:space="preserve">o effect on blood glucose was found with a </w:t>
      </w:r>
      <w:r>
        <w:rPr>
          <w:rFonts w:cs="Arial"/>
        </w:rPr>
        <w:t xml:space="preserve">high </w:t>
      </w:r>
      <w:r w:rsidR="00C92EF1">
        <w:rPr>
          <w:rFonts w:cs="Arial"/>
        </w:rPr>
        <w:t>GOS</w:t>
      </w:r>
      <w:r w:rsidRPr="003D4ECA">
        <w:rPr>
          <w:rFonts w:cs="Arial"/>
        </w:rPr>
        <w:t xml:space="preserve"> intake of 15 g</w:t>
      </w:r>
      <w:r>
        <w:rPr>
          <w:rFonts w:cs="Arial"/>
        </w:rPr>
        <w:t>/day</w:t>
      </w:r>
      <w:r w:rsidRPr="003D4ECA">
        <w:rPr>
          <w:rFonts w:cs="Arial"/>
        </w:rPr>
        <w:t xml:space="preserve"> over 12 weeks</w:t>
      </w:r>
      <w:r w:rsidR="003643FE">
        <w:rPr>
          <w:rFonts w:cs="Arial"/>
        </w:rPr>
        <w:t>.</w:t>
      </w:r>
    </w:p>
    <w:p w14:paraId="5EB28F5B" w14:textId="48CE4DA3" w:rsidR="003D7003" w:rsidRDefault="003D7003" w:rsidP="0073104D">
      <w:pPr>
        <w:pStyle w:val="Heading2"/>
      </w:pPr>
      <w:bookmarkStart w:id="39" w:name="_Toc64561471"/>
      <w:bookmarkStart w:id="40" w:name="_Toc66868373"/>
      <w:r>
        <w:lastRenderedPageBreak/>
        <w:t xml:space="preserve">2.5 </w:t>
      </w:r>
      <w:r w:rsidR="00A36E63">
        <w:t>Industry involvement and c</w:t>
      </w:r>
      <w:r w:rsidR="0005616B">
        <w:t>haracteristics of g</w:t>
      </w:r>
      <w:r w:rsidR="00D14DBD">
        <w:t>alacto-o</w:t>
      </w:r>
      <w:r w:rsidR="0005616B">
        <w:t>ligosaccharides used in selected studies</w:t>
      </w:r>
      <w:bookmarkEnd w:id="39"/>
      <w:bookmarkEnd w:id="40"/>
    </w:p>
    <w:p w14:paraId="568C6C9C" w14:textId="63DA7866" w:rsidR="000E7B99" w:rsidRPr="00A36E63" w:rsidRDefault="000E7B99" w:rsidP="000E7B99">
      <w:pPr>
        <w:rPr>
          <w:b/>
        </w:rPr>
      </w:pPr>
      <w:r w:rsidRPr="00F60F41">
        <w:rPr>
          <w:b/>
        </w:rPr>
        <w:t xml:space="preserve">Table </w:t>
      </w:r>
      <w:r w:rsidR="004C293F">
        <w:rPr>
          <w:b/>
        </w:rPr>
        <w:t>7</w:t>
      </w:r>
      <w:r w:rsidRPr="00F60F41">
        <w:rPr>
          <w:b/>
        </w:rPr>
        <w:t>:</w:t>
      </w:r>
      <w:r w:rsidR="00F60F41">
        <w:rPr>
          <w:b/>
        </w:rPr>
        <w:t xml:space="preserve"> </w:t>
      </w:r>
      <w:r w:rsidR="00A36E63">
        <w:rPr>
          <w:b/>
        </w:rPr>
        <w:t>Industry involvement and i</w:t>
      </w:r>
      <w:r w:rsidR="00F60F41" w:rsidRPr="00F60F41">
        <w:rPr>
          <w:rFonts w:cs="Arial"/>
          <w:b/>
        </w:rPr>
        <w:t xml:space="preserve">nstructions, </w:t>
      </w:r>
      <w:r w:rsidR="00756D1E">
        <w:rPr>
          <w:rFonts w:cs="Arial"/>
          <w:b/>
        </w:rPr>
        <w:t>composition</w:t>
      </w:r>
      <w:r w:rsidR="00F60F41">
        <w:rPr>
          <w:rFonts w:cs="Arial"/>
          <w:b/>
        </w:rPr>
        <w:t>,</w:t>
      </w:r>
      <w:r w:rsidR="00F60F41" w:rsidRPr="00F60F41">
        <w:rPr>
          <w:rFonts w:cs="Arial"/>
          <w:b/>
        </w:rPr>
        <w:t xml:space="preserve"> and form</w:t>
      </w:r>
      <w:r w:rsidR="00F60F41">
        <w:rPr>
          <w:rFonts w:cs="Arial"/>
          <w:b/>
        </w:rPr>
        <w:t xml:space="preserve"> of galacto-oligosaccharides used </w:t>
      </w:r>
      <w:r w:rsidR="00F60F41" w:rsidRPr="00F60F41">
        <w:rPr>
          <w:rFonts w:cs="Arial"/>
          <w:b/>
        </w:rPr>
        <w:t>in studies included in meta-analyses</w:t>
      </w:r>
      <w:r w:rsidR="00A87772">
        <w:rPr>
          <w:rFonts w:cs="Arial"/>
          <w:b/>
        </w:rPr>
        <w:t xml:space="preserve"> and narrative review</w:t>
      </w:r>
      <w:r w:rsidR="00A87772">
        <w:rPr>
          <w:rFonts w:cs="Arial"/>
          <w:b/>
          <w:vertAlign w:val="superscript"/>
        </w:rPr>
        <w:t>1</w:t>
      </w:r>
      <w:r w:rsidR="00A36E63">
        <w:rPr>
          <w:rFonts w:cs="Arial"/>
          <w:b/>
        </w:rPr>
        <w:t>.</w:t>
      </w:r>
    </w:p>
    <w:tbl>
      <w:tblPr>
        <w:tblStyle w:val="TableGrid"/>
        <w:tblW w:w="14029" w:type="dxa"/>
        <w:tblLayout w:type="fixed"/>
        <w:tblLook w:val="04A0" w:firstRow="1" w:lastRow="0" w:firstColumn="1" w:lastColumn="0" w:noHBand="0" w:noVBand="1"/>
        <w:tblCaption w:val="Table 7: Industry involvement and instructions, structure, and form of galacto-oligosaccharides used in studies included in meta-analyses and narrative review."/>
        <w:tblDescription w:val="Table 7 contains 6 columns. Column 1 states the physiological outcome/s measured by the respective publication.  Column 2 reflects the study of interest, by listing the first author and year of publication. Column 3 provides details on the study design. Column 4 describes the GOS and placebo instructions for the intervention and control groups. Column 5 provides details on the structure and form of the GOS mixture. Column 6 provides details on industry involvement."/>
      </w:tblPr>
      <w:tblGrid>
        <w:gridCol w:w="1413"/>
        <w:gridCol w:w="1134"/>
        <w:gridCol w:w="2551"/>
        <w:gridCol w:w="2410"/>
        <w:gridCol w:w="4111"/>
        <w:gridCol w:w="2410"/>
      </w:tblGrid>
      <w:tr w:rsidR="009032A8" w:rsidRPr="00B24770" w14:paraId="6D3C3E97" w14:textId="77777777" w:rsidTr="00E21742">
        <w:trPr>
          <w:cantSplit/>
          <w:tblHeader/>
        </w:trPr>
        <w:tc>
          <w:tcPr>
            <w:tcW w:w="1413" w:type="dxa"/>
          </w:tcPr>
          <w:p w14:paraId="642F92C2" w14:textId="77777777" w:rsidR="009032A8" w:rsidRPr="00B262FD" w:rsidRDefault="009032A8" w:rsidP="00725DB2">
            <w:pPr>
              <w:rPr>
                <w:b/>
                <w:sz w:val="18"/>
                <w:szCs w:val="18"/>
              </w:rPr>
            </w:pPr>
            <w:r w:rsidRPr="00B262FD">
              <w:rPr>
                <w:b/>
                <w:sz w:val="18"/>
                <w:szCs w:val="18"/>
              </w:rPr>
              <w:t>Physiological outcome measured</w:t>
            </w:r>
          </w:p>
        </w:tc>
        <w:tc>
          <w:tcPr>
            <w:tcW w:w="1134" w:type="dxa"/>
          </w:tcPr>
          <w:p w14:paraId="101E0082" w14:textId="77777777" w:rsidR="009032A8" w:rsidRPr="00B262FD" w:rsidRDefault="009032A8" w:rsidP="00725DB2">
            <w:pPr>
              <w:rPr>
                <w:b/>
                <w:sz w:val="18"/>
                <w:szCs w:val="18"/>
              </w:rPr>
            </w:pPr>
            <w:r w:rsidRPr="00B262FD">
              <w:rPr>
                <w:b/>
                <w:sz w:val="18"/>
                <w:szCs w:val="18"/>
              </w:rPr>
              <w:t>First author (year)</w:t>
            </w:r>
          </w:p>
        </w:tc>
        <w:tc>
          <w:tcPr>
            <w:tcW w:w="2551" w:type="dxa"/>
          </w:tcPr>
          <w:p w14:paraId="6A064182" w14:textId="77777777" w:rsidR="009032A8" w:rsidRPr="00B262FD" w:rsidRDefault="009032A8" w:rsidP="00725DB2">
            <w:pPr>
              <w:rPr>
                <w:b/>
                <w:sz w:val="18"/>
                <w:szCs w:val="18"/>
              </w:rPr>
            </w:pPr>
            <w:r w:rsidRPr="00B262FD">
              <w:rPr>
                <w:b/>
                <w:sz w:val="18"/>
                <w:szCs w:val="18"/>
              </w:rPr>
              <w:t>Study design</w:t>
            </w:r>
          </w:p>
        </w:tc>
        <w:tc>
          <w:tcPr>
            <w:tcW w:w="2410" w:type="dxa"/>
          </w:tcPr>
          <w:p w14:paraId="0D0C009B" w14:textId="77777777" w:rsidR="009032A8" w:rsidRPr="00B262FD" w:rsidRDefault="009032A8" w:rsidP="00725DB2">
            <w:pPr>
              <w:rPr>
                <w:b/>
                <w:sz w:val="18"/>
                <w:szCs w:val="18"/>
              </w:rPr>
            </w:pPr>
            <w:r w:rsidRPr="00B262FD">
              <w:rPr>
                <w:b/>
                <w:sz w:val="18"/>
                <w:szCs w:val="18"/>
              </w:rPr>
              <w:t>Intervention &amp; Comparator</w:t>
            </w:r>
          </w:p>
        </w:tc>
        <w:tc>
          <w:tcPr>
            <w:tcW w:w="4111" w:type="dxa"/>
          </w:tcPr>
          <w:p w14:paraId="207FEEC3" w14:textId="77777777" w:rsidR="009032A8" w:rsidRPr="00B262FD" w:rsidRDefault="009032A8" w:rsidP="00725DB2">
            <w:pPr>
              <w:rPr>
                <w:b/>
                <w:sz w:val="18"/>
                <w:szCs w:val="18"/>
              </w:rPr>
            </w:pPr>
            <w:r w:rsidRPr="00B262FD">
              <w:rPr>
                <w:b/>
                <w:sz w:val="18"/>
                <w:szCs w:val="18"/>
              </w:rPr>
              <w:t>GOS</w:t>
            </w:r>
          </w:p>
        </w:tc>
        <w:tc>
          <w:tcPr>
            <w:tcW w:w="2410" w:type="dxa"/>
          </w:tcPr>
          <w:p w14:paraId="3C5E0545" w14:textId="77777777" w:rsidR="009032A8" w:rsidRPr="00B262FD" w:rsidRDefault="009032A8" w:rsidP="00725DB2">
            <w:pPr>
              <w:rPr>
                <w:b/>
                <w:sz w:val="18"/>
                <w:szCs w:val="18"/>
              </w:rPr>
            </w:pPr>
            <w:r>
              <w:rPr>
                <w:b/>
                <w:sz w:val="18"/>
                <w:szCs w:val="18"/>
              </w:rPr>
              <w:t>Industry involvement</w:t>
            </w:r>
          </w:p>
        </w:tc>
      </w:tr>
      <w:tr w:rsidR="009032A8" w:rsidRPr="00B24770" w14:paraId="3D2DA880" w14:textId="77777777" w:rsidTr="00E21742">
        <w:trPr>
          <w:cantSplit/>
        </w:trPr>
        <w:tc>
          <w:tcPr>
            <w:tcW w:w="1413" w:type="dxa"/>
          </w:tcPr>
          <w:p w14:paraId="3B3A19DF" w14:textId="77777777" w:rsidR="009032A8" w:rsidRPr="00E72D1C" w:rsidRDefault="009032A8" w:rsidP="00725DB2">
            <w:pPr>
              <w:rPr>
                <w:sz w:val="18"/>
                <w:szCs w:val="18"/>
              </w:rPr>
            </w:pPr>
            <w:r w:rsidRPr="00E72D1C">
              <w:rPr>
                <w:sz w:val="18"/>
                <w:szCs w:val="18"/>
              </w:rPr>
              <w:t>Laxation</w:t>
            </w:r>
          </w:p>
        </w:tc>
        <w:tc>
          <w:tcPr>
            <w:tcW w:w="1134" w:type="dxa"/>
          </w:tcPr>
          <w:p w14:paraId="3EFF52F5" w14:textId="77777777" w:rsidR="009032A8" w:rsidRPr="00E72D1C" w:rsidRDefault="009032A8" w:rsidP="00725DB2">
            <w:pPr>
              <w:rPr>
                <w:sz w:val="18"/>
                <w:szCs w:val="18"/>
              </w:rPr>
            </w:pPr>
            <w:r w:rsidRPr="00E72D1C">
              <w:rPr>
                <w:sz w:val="18"/>
                <w:szCs w:val="18"/>
              </w:rPr>
              <w:t>Ito (1990)</w:t>
            </w:r>
          </w:p>
        </w:tc>
        <w:tc>
          <w:tcPr>
            <w:tcW w:w="2551" w:type="dxa"/>
          </w:tcPr>
          <w:p w14:paraId="641E5DC3" w14:textId="77777777" w:rsidR="009032A8" w:rsidRPr="00190813" w:rsidRDefault="009032A8" w:rsidP="00725DB2">
            <w:pPr>
              <w:rPr>
                <w:sz w:val="18"/>
                <w:szCs w:val="18"/>
              </w:rPr>
            </w:pPr>
            <w:r w:rsidRPr="00190813">
              <w:rPr>
                <w:sz w:val="18"/>
                <w:szCs w:val="18"/>
              </w:rPr>
              <w:t>Crossover.</w:t>
            </w:r>
          </w:p>
          <w:p w14:paraId="7BFFFD18" w14:textId="77777777" w:rsidR="009032A8" w:rsidRPr="00190813" w:rsidRDefault="009032A8" w:rsidP="00725DB2">
            <w:pPr>
              <w:rPr>
                <w:sz w:val="18"/>
                <w:szCs w:val="18"/>
              </w:rPr>
            </w:pPr>
          </w:p>
          <w:p w14:paraId="269D7A35" w14:textId="77777777" w:rsidR="009032A8" w:rsidRPr="00190813" w:rsidRDefault="009032A8" w:rsidP="00725DB2">
            <w:pPr>
              <w:rPr>
                <w:sz w:val="18"/>
                <w:szCs w:val="18"/>
              </w:rPr>
            </w:pPr>
            <w:r w:rsidRPr="00190813">
              <w:rPr>
                <w:sz w:val="18"/>
                <w:szCs w:val="18"/>
              </w:rPr>
              <w:t>Randomisation</w:t>
            </w:r>
            <w:r>
              <w:rPr>
                <w:sz w:val="18"/>
                <w:szCs w:val="18"/>
              </w:rPr>
              <w:t xml:space="preserve"> is</w:t>
            </w:r>
            <w:r w:rsidRPr="00190813">
              <w:rPr>
                <w:sz w:val="18"/>
                <w:szCs w:val="18"/>
              </w:rPr>
              <w:t xml:space="preserve"> not stated.</w:t>
            </w:r>
          </w:p>
          <w:p w14:paraId="0265F9BB" w14:textId="77777777" w:rsidR="009032A8" w:rsidRPr="00190813" w:rsidRDefault="009032A8" w:rsidP="00725DB2">
            <w:pPr>
              <w:rPr>
                <w:sz w:val="18"/>
                <w:szCs w:val="18"/>
              </w:rPr>
            </w:pPr>
          </w:p>
          <w:p w14:paraId="1D2A306F" w14:textId="77777777" w:rsidR="009032A8" w:rsidRPr="00190813" w:rsidRDefault="009032A8" w:rsidP="00725DB2">
            <w:pPr>
              <w:rPr>
                <w:sz w:val="18"/>
                <w:szCs w:val="18"/>
              </w:rPr>
            </w:pPr>
            <w:r w:rsidRPr="00190813">
              <w:rPr>
                <w:rFonts w:cs="Arial"/>
                <w:sz w:val="18"/>
                <w:szCs w:val="18"/>
              </w:rPr>
              <w:t>n=12</w:t>
            </w:r>
          </w:p>
          <w:p w14:paraId="7690E053" w14:textId="77777777" w:rsidR="009032A8" w:rsidRPr="00190813" w:rsidRDefault="009032A8" w:rsidP="00725DB2">
            <w:pPr>
              <w:rPr>
                <w:sz w:val="18"/>
                <w:szCs w:val="18"/>
              </w:rPr>
            </w:pPr>
          </w:p>
          <w:p w14:paraId="2EFAC45E" w14:textId="2580085C" w:rsidR="009032A8" w:rsidRPr="00190813" w:rsidRDefault="009032A8" w:rsidP="00725DB2">
            <w:pPr>
              <w:rPr>
                <w:sz w:val="18"/>
                <w:szCs w:val="18"/>
              </w:rPr>
            </w:pPr>
            <w:r w:rsidRPr="00190813">
              <w:rPr>
                <w:sz w:val="18"/>
                <w:szCs w:val="18"/>
              </w:rPr>
              <w:t>Four 7-day c</w:t>
            </w:r>
            <w:r>
              <w:rPr>
                <w:sz w:val="18"/>
                <w:szCs w:val="18"/>
              </w:rPr>
              <w:t>onditions: placebo and three intak</w:t>
            </w:r>
            <w:r w:rsidRPr="00190813">
              <w:rPr>
                <w:sz w:val="18"/>
                <w:szCs w:val="18"/>
              </w:rPr>
              <w:t>e levels of GOS.</w:t>
            </w:r>
          </w:p>
          <w:p w14:paraId="654C197F" w14:textId="77777777" w:rsidR="009032A8" w:rsidRPr="00190813" w:rsidRDefault="009032A8" w:rsidP="00725DB2">
            <w:pPr>
              <w:rPr>
                <w:sz w:val="18"/>
                <w:szCs w:val="18"/>
              </w:rPr>
            </w:pPr>
          </w:p>
          <w:p w14:paraId="60F02A5F" w14:textId="77777777" w:rsidR="009032A8" w:rsidRDefault="009032A8" w:rsidP="00CD6127">
            <w:pPr>
              <w:rPr>
                <w:sz w:val="18"/>
                <w:szCs w:val="18"/>
              </w:rPr>
            </w:pPr>
            <w:r w:rsidRPr="00190813">
              <w:rPr>
                <w:sz w:val="18"/>
                <w:szCs w:val="18"/>
              </w:rPr>
              <w:t>Washout: v</w:t>
            </w:r>
            <w:r>
              <w:rPr>
                <w:sz w:val="18"/>
                <w:szCs w:val="18"/>
              </w:rPr>
              <w:t>ariable length, minimum 7 days.</w:t>
            </w:r>
          </w:p>
          <w:p w14:paraId="048E6F65" w14:textId="77777777" w:rsidR="009032A8" w:rsidRDefault="009032A8" w:rsidP="00CD6127">
            <w:pPr>
              <w:rPr>
                <w:sz w:val="18"/>
                <w:szCs w:val="18"/>
              </w:rPr>
            </w:pPr>
          </w:p>
          <w:p w14:paraId="52D5681C" w14:textId="36191965" w:rsidR="009032A8" w:rsidRPr="00190813" w:rsidRDefault="009032A8" w:rsidP="00CD6127">
            <w:pPr>
              <w:rPr>
                <w:sz w:val="18"/>
                <w:szCs w:val="18"/>
              </w:rPr>
            </w:pPr>
            <w:r>
              <w:rPr>
                <w:sz w:val="18"/>
                <w:szCs w:val="18"/>
              </w:rPr>
              <w:t>Study location: not stated but likely Japan.</w:t>
            </w:r>
          </w:p>
        </w:tc>
        <w:tc>
          <w:tcPr>
            <w:tcW w:w="2410" w:type="dxa"/>
          </w:tcPr>
          <w:p w14:paraId="6007D489" w14:textId="77777777" w:rsidR="009032A8" w:rsidRPr="00C6510C" w:rsidRDefault="009032A8" w:rsidP="00725DB2">
            <w:pPr>
              <w:rPr>
                <w:rFonts w:cs="Arial"/>
                <w:sz w:val="18"/>
                <w:szCs w:val="18"/>
              </w:rPr>
            </w:pPr>
            <w:r w:rsidRPr="00190813">
              <w:rPr>
                <w:rFonts w:cs="Arial"/>
                <w:sz w:val="18"/>
                <w:szCs w:val="18"/>
              </w:rPr>
              <w:t xml:space="preserve">I: Oral dose of 115 mL apple juice </w:t>
            </w:r>
            <w:r w:rsidRPr="00C6510C">
              <w:rPr>
                <w:rFonts w:cs="Arial"/>
                <w:sz w:val="18"/>
                <w:szCs w:val="18"/>
              </w:rPr>
              <w:t>containing Oligomate-50, consumed once per day after lunch.</w:t>
            </w:r>
          </w:p>
          <w:p w14:paraId="277167DC" w14:textId="0B16F81D" w:rsidR="009032A8" w:rsidRPr="00C6510C" w:rsidRDefault="009032A8" w:rsidP="00725DB2">
            <w:pPr>
              <w:rPr>
                <w:rFonts w:cs="Arial"/>
                <w:sz w:val="18"/>
                <w:szCs w:val="18"/>
              </w:rPr>
            </w:pPr>
            <w:r w:rsidRPr="00C6510C">
              <w:rPr>
                <w:rFonts w:cs="Arial"/>
                <w:sz w:val="18"/>
                <w:szCs w:val="18"/>
              </w:rPr>
              <w:t xml:space="preserve">Three </w:t>
            </w:r>
            <w:r>
              <w:rPr>
                <w:sz w:val="18"/>
                <w:szCs w:val="18"/>
              </w:rPr>
              <w:t>intak</w:t>
            </w:r>
            <w:r w:rsidRPr="00190813">
              <w:rPr>
                <w:sz w:val="18"/>
                <w:szCs w:val="18"/>
              </w:rPr>
              <w:t>e</w:t>
            </w:r>
            <w:r w:rsidRPr="00C6510C">
              <w:rPr>
                <w:rFonts w:cs="Arial"/>
                <w:sz w:val="18"/>
                <w:szCs w:val="18"/>
              </w:rPr>
              <w:t xml:space="preserve"> levels of Oligomate-50 (4.8, 9.6 or 19.2 g/day) containing 2.5, 5.0 or 10.0 g/day GOS.</w:t>
            </w:r>
          </w:p>
          <w:p w14:paraId="44AA1F77" w14:textId="77777777" w:rsidR="009032A8" w:rsidRPr="00C6510C" w:rsidRDefault="009032A8" w:rsidP="00725DB2">
            <w:pPr>
              <w:rPr>
                <w:rFonts w:cs="Arial"/>
                <w:sz w:val="18"/>
                <w:szCs w:val="18"/>
              </w:rPr>
            </w:pPr>
          </w:p>
          <w:p w14:paraId="4D85E914" w14:textId="77777777" w:rsidR="009032A8" w:rsidRPr="00E72D1C" w:rsidRDefault="009032A8" w:rsidP="00725DB2">
            <w:pPr>
              <w:rPr>
                <w:color w:val="FF0000"/>
                <w:sz w:val="18"/>
                <w:szCs w:val="18"/>
              </w:rPr>
            </w:pPr>
            <w:r w:rsidRPr="00C6510C">
              <w:rPr>
                <w:rFonts w:cs="Arial"/>
                <w:sz w:val="18"/>
                <w:szCs w:val="18"/>
              </w:rPr>
              <w:t>C: Oral dose of 115 mL apple juice consumed once p</w:t>
            </w:r>
            <w:r w:rsidRPr="00791CBE">
              <w:rPr>
                <w:rFonts w:cs="Arial"/>
                <w:sz w:val="18"/>
                <w:szCs w:val="18"/>
              </w:rPr>
              <w:t>er day after lunch.</w:t>
            </w:r>
          </w:p>
        </w:tc>
        <w:tc>
          <w:tcPr>
            <w:tcW w:w="4111" w:type="dxa"/>
          </w:tcPr>
          <w:p w14:paraId="318C4878" w14:textId="77777777" w:rsidR="009032A8" w:rsidRPr="004C7CE4" w:rsidRDefault="009032A8" w:rsidP="00725DB2">
            <w:pPr>
              <w:rPr>
                <w:rFonts w:cs="Arial"/>
                <w:sz w:val="18"/>
                <w:szCs w:val="18"/>
              </w:rPr>
            </w:pPr>
            <w:r>
              <w:rPr>
                <w:rFonts w:cs="Arial"/>
                <w:sz w:val="18"/>
                <w:szCs w:val="18"/>
              </w:rPr>
              <w:t>Oligomate-</w:t>
            </w:r>
            <w:r w:rsidRPr="004C7CE4">
              <w:rPr>
                <w:rFonts w:cs="Arial"/>
                <w:sz w:val="18"/>
                <w:szCs w:val="18"/>
              </w:rPr>
              <w:t>50.</w:t>
            </w:r>
          </w:p>
          <w:p w14:paraId="1099DDBA" w14:textId="77777777" w:rsidR="009032A8" w:rsidRDefault="009032A8" w:rsidP="00725DB2">
            <w:pPr>
              <w:rPr>
                <w:rFonts w:cs="Arial"/>
                <w:color w:val="FF0000"/>
                <w:sz w:val="18"/>
                <w:szCs w:val="18"/>
              </w:rPr>
            </w:pPr>
          </w:p>
          <w:p w14:paraId="254B7DBB" w14:textId="430D45FF" w:rsidR="009032A8" w:rsidRPr="00E72D1C" w:rsidRDefault="009032A8" w:rsidP="00725DB2">
            <w:pPr>
              <w:rPr>
                <w:rFonts w:cs="Arial"/>
                <w:color w:val="FF0000"/>
                <w:sz w:val="18"/>
                <w:szCs w:val="18"/>
              </w:rPr>
            </w:pPr>
            <w:r w:rsidRPr="00190813">
              <w:rPr>
                <w:rFonts w:cs="Arial"/>
                <w:sz w:val="18"/>
                <w:szCs w:val="18"/>
              </w:rPr>
              <w:t xml:space="preserve">Composition: </w:t>
            </w:r>
            <w:r>
              <w:rPr>
                <w:rFonts w:cs="Arial"/>
                <w:sz w:val="18"/>
                <w:szCs w:val="18"/>
              </w:rPr>
              <w:t xml:space="preserve">52% </w:t>
            </w:r>
            <w:r w:rsidRPr="00AB69F9">
              <w:rPr>
                <w:rFonts w:cs="Arial"/>
                <w:sz w:val="18"/>
                <w:szCs w:val="18"/>
              </w:rPr>
              <w:t>GOS (Gal-(Gal)n-Glc (n=0-</w:t>
            </w:r>
            <w:r w:rsidRPr="00712DB3">
              <w:rPr>
                <w:rFonts w:cs="Arial"/>
                <w:sz w:val="18"/>
                <w:szCs w:val="18"/>
              </w:rPr>
              <w:t>4); 16% disaccharides, 24% trisaccharides, 10% tetrasaccharides, 2% penta- and hexa-saccharides); 38% monosaccharide</w:t>
            </w:r>
            <w:r>
              <w:rPr>
                <w:rFonts w:cs="Arial"/>
                <w:sz w:val="18"/>
                <w:szCs w:val="18"/>
              </w:rPr>
              <w:t xml:space="preserve">; and, </w:t>
            </w:r>
            <w:r w:rsidRPr="00712DB3">
              <w:rPr>
                <w:rFonts w:cs="Arial"/>
                <w:sz w:val="18"/>
                <w:szCs w:val="18"/>
              </w:rPr>
              <w:t>10% lactose. (We note that lactose, a disaccharide</w:t>
            </w:r>
            <w:r>
              <w:rPr>
                <w:rFonts w:cs="Arial"/>
                <w:sz w:val="18"/>
                <w:szCs w:val="18"/>
              </w:rPr>
              <w:t>, does not seem to be included in the previously listed 16% disaccharide content that forms part of GOS.)</w:t>
            </w:r>
          </w:p>
          <w:p w14:paraId="5C234420" w14:textId="77777777" w:rsidR="009032A8" w:rsidRPr="00460F2B" w:rsidRDefault="009032A8" w:rsidP="00725DB2">
            <w:pPr>
              <w:rPr>
                <w:rFonts w:cs="Arial"/>
                <w:sz w:val="18"/>
                <w:szCs w:val="18"/>
              </w:rPr>
            </w:pPr>
          </w:p>
          <w:p w14:paraId="4FF96D9E" w14:textId="77777777" w:rsidR="009032A8" w:rsidRPr="00460F2B" w:rsidRDefault="009032A8" w:rsidP="00725DB2">
            <w:pPr>
              <w:rPr>
                <w:rFonts w:cs="Arial"/>
                <w:sz w:val="18"/>
                <w:szCs w:val="18"/>
              </w:rPr>
            </w:pPr>
            <w:r w:rsidRPr="00460F2B">
              <w:rPr>
                <w:rFonts w:cs="Arial"/>
                <w:sz w:val="18"/>
                <w:szCs w:val="18"/>
              </w:rPr>
              <w:t xml:space="preserve">Galactosyllactoses were produced from lactose by the enzymatic action of β-D-galactosidase (produced by </w:t>
            </w:r>
            <w:r w:rsidRPr="00460F2B">
              <w:rPr>
                <w:rFonts w:cs="Arial"/>
                <w:i/>
                <w:sz w:val="18"/>
                <w:szCs w:val="18"/>
              </w:rPr>
              <w:t>Aspergillus oryzae</w:t>
            </w:r>
            <w:r w:rsidRPr="00460F2B">
              <w:rPr>
                <w:rFonts w:cs="Arial"/>
                <w:sz w:val="18"/>
                <w:szCs w:val="18"/>
              </w:rPr>
              <w:t xml:space="preserve"> and </w:t>
            </w:r>
            <w:r w:rsidRPr="00460F2B">
              <w:rPr>
                <w:rFonts w:cs="Arial"/>
                <w:i/>
                <w:sz w:val="18"/>
                <w:szCs w:val="18"/>
              </w:rPr>
              <w:t>Streptococcus thermophillus</w:t>
            </w:r>
            <w:r w:rsidRPr="00460F2B">
              <w:rPr>
                <w:rFonts w:cs="Arial"/>
                <w:sz w:val="18"/>
                <w:szCs w:val="18"/>
              </w:rPr>
              <w:t>).</w:t>
            </w:r>
          </w:p>
          <w:p w14:paraId="2EEF391D" w14:textId="77777777" w:rsidR="009032A8" w:rsidRPr="00460F2B" w:rsidRDefault="009032A8" w:rsidP="00725DB2">
            <w:pPr>
              <w:rPr>
                <w:rFonts w:cs="Arial"/>
                <w:sz w:val="18"/>
                <w:szCs w:val="18"/>
              </w:rPr>
            </w:pPr>
          </w:p>
          <w:p w14:paraId="2A6EEAE6" w14:textId="77777777" w:rsidR="009032A8" w:rsidRPr="00E72D1C" w:rsidRDefault="009032A8" w:rsidP="00725DB2">
            <w:pPr>
              <w:rPr>
                <w:color w:val="FF0000"/>
                <w:sz w:val="18"/>
                <w:szCs w:val="18"/>
              </w:rPr>
            </w:pPr>
            <w:r w:rsidRPr="00460F2B">
              <w:rPr>
                <w:sz w:val="18"/>
                <w:szCs w:val="18"/>
              </w:rPr>
              <w:t>Adherence to apple juice consumption was not reported.</w:t>
            </w:r>
          </w:p>
        </w:tc>
        <w:tc>
          <w:tcPr>
            <w:tcW w:w="2410" w:type="dxa"/>
          </w:tcPr>
          <w:p w14:paraId="3A54E7E1" w14:textId="77777777" w:rsidR="009032A8" w:rsidRDefault="009032A8" w:rsidP="00725DB2">
            <w:pPr>
              <w:rPr>
                <w:sz w:val="18"/>
                <w:szCs w:val="18"/>
              </w:rPr>
            </w:pPr>
            <w:r>
              <w:rPr>
                <w:sz w:val="18"/>
                <w:szCs w:val="18"/>
              </w:rPr>
              <w:t>Authors are employees of Ya</w:t>
            </w:r>
            <w:r w:rsidRPr="00190813">
              <w:rPr>
                <w:sz w:val="18"/>
                <w:szCs w:val="18"/>
              </w:rPr>
              <w:t>kult Central Institute for Microbiological Research</w:t>
            </w:r>
            <w:r>
              <w:rPr>
                <w:sz w:val="18"/>
                <w:szCs w:val="18"/>
              </w:rPr>
              <w:t>, Japan</w:t>
            </w:r>
            <w:r w:rsidRPr="00190813">
              <w:rPr>
                <w:sz w:val="18"/>
                <w:szCs w:val="18"/>
              </w:rPr>
              <w:t>.</w:t>
            </w:r>
          </w:p>
          <w:p w14:paraId="665087AA" w14:textId="77777777" w:rsidR="009032A8" w:rsidRDefault="009032A8" w:rsidP="00725DB2">
            <w:pPr>
              <w:rPr>
                <w:sz w:val="18"/>
                <w:szCs w:val="18"/>
              </w:rPr>
            </w:pPr>
          </w:p>
          <w:p w14:paraId="3A71784C" w14:textId="77777777" w:rsidR="009032A8" w:rsidRPr="00E72D1C" w:rsidRDefault="009032A8" w:rsidP="00725DB2">
            <w:pPr>
              <w:rPr>
                <w:color w:val="FF0000"/>
                <w:sz w:val="18"/>
                <w:szCs w:val="18"/>
              </w:rPr>
            </w:pPr>
            <w:r>
              <w:rPr>
                <w:sz w:val="18"/>
                <w:szCs w:val="18"/>
              </w:rPr>
              <w:t>The study protocol was approved by the Yakult Central Institute Ethics Committee.</w:t>
            </w:r>
          </w:p>
        </w:tc>
      </w:tr>
      <w:tr w:rsidR="009032A8" w:rsidRPr="00E72D1C" w14:paraId="3B2615C2" w14:textId="77777777" w:rsidTr="00E21742">
        <w:trPr>
          <w:cantSplit/>
        </w:trPr>
        <w:tc>
          <w:tcPr>
            <w:tcW w:w="1413" w:type="dxa"/>
          </w:tcPr>
          <w:p w14:paraId="1BA61224" w14:textId="1FD5FFB5" w:rsidR="009032A8" w:rsidRPr="00E72D1C" w:rsidRDefault="009032A8" w:rsidP="00725DB2">
            <w:pPr>
              <w:rPr>
                <w:color w:val="FF0000"/>
                <w:sz w:val="18"/>
                <w:szCs w:val="18"/>
              </w:rPr>
            </w:pPr>
            <w:r w:rsidRPr="009D60EE">
              <w:rPr>
                <w:sz w:val="18"/>
                <w:szCs w:val="18"/>
              </w:rPr>
              <w:t>Laxation</w:t>
            </w:r>
            <w:r w:rsidRPr="00460F2B">
              <w:rPr>
                <w:sz w:val="18"/>
                <w:szCs w:val="18"/>
              </w:rPr>
              <w:t>, b</w:t>
            </w:r>
            <w:r w:rsidR="003A77A0">
              <w:rPr>
                <w:sz w:val="18"/>
                <w:szCs w:val="18"/>
              </w:rPr>
              <w:t>lood cholesterol, blood glucose</w:t>
            </w:r>
          </w:p>
        </w:tc>
        <w:tc>
          <w:tcPr>
            <w:tcW w:w="1134" w:type="dxa"/>
          </w:tcPr>
          <w:p w14:paraId="4D12A82C" w14:textId="77777777" w:rsidR="009032A8" w:rsidRPr="00E72D1C" w:rsidRDefault="009032A8" w:rsidP="00725DB2">
            <w:pPr>
              <w:rPr>
                <w:color w:val="FF0000"/>
                <w:sz w:val="18"/>
                <w:szCs w:val="18"/>
              </w:rPr>
            </w:pPr>
            <w:r w:rsidRPr="00E72D1C">
              <w:rPr>
                <w:sz w:val="18"/>
                <w:szCs w:val="18"/>
              </w:rPr>
              <w:t>van Dokkum (1999)</w:t>
            </w:r>
          </w:p>
        </w:tc>
        <w:tc>
          <w:tcPr>
            <w:tcW w:w="2551" w:type="dxa"/>
          </w:tcPr>
          <w:p w14:paraId="5FCA898F" w14:textId="77777777" w:rsidR="009032A8" w:rsidRPr="00CA5FCF" w:rsidRDefault="009032A8" w:rsidP="00725DB2">
            <w:pPr>
              <w:rPr>
                <w:sz w:val="18"/>
                <w:szCs w:val="18"/>
              </w:rPr>
            </w:pPr>
            <w:r w:rsidRPr="00CA5FCF">
              <w:rPr>
                <w:sz w:val="18"/>
                <w:szCs w:val="18"/>
              </w:rPr>
              <w:t>Crossover.</w:t>
            </w:r>
          </w:p>
          <w:p w14:paraId="780C0A2A" w14:textId="77777777" w:rsidR="009032A8" w:rsidRPr="00CA5FCF" w:rsidRDefault="009032A8" w:rsidP="00725DB2">
            <w:pPr>
              <w:rPr>
                <w:sz w:val="18"/>
                <w:szCs w:val="18"/>
              </w:rPr>
            </w:pPr>
          </w:p>
          <w:p w14:paraId="00EED796" w14:textId="77777777" w:rsidR="009032A8" w:rsidRPr="00CA5FCF" w:rsidRDefault="009032A8" w:rsidP="00725DB2">
            <w:pPr>
              <w:rPr>
                <w:sz w:val="18"/>
                <w:szCs w:val="18"/>
              </w:rPr>
            </w:pPr>
            <w:r w:rsidRPr="00CA5FCF">
              <w:rPr>
                <w:sz w:val="18"/>
                <w:szCs w:val="18"/>
              </w:rPr>
              <w:t>Randomised.</w:t>
            </w:r>
          </w:p>
          <w:p w14:paraId="65D13F60" w14:textId="77777777" w:rsidR="009032A8" w:rsidRPr="00CA5FCF" w:rsidRDefault="009032A8" w:rsidP="00725DB2">
            <w:pPr>
              <w:rPr>
                <w:sz w:val="18"/>
                <w:szCs w:val="18"/>
              </w:rPr>
            </w:pPr>
          </w:p>
          <w:p w14:paraId="27793453" w14:textId="77777777" w:rsidR="009032A8" w:rsidRPr="00CA5FCF" w:rsidRDefault="009032A8" w:rsidP="00725DB2">
            <w:pPr>
              <w:rPr>
                <w:rFonts w:cs="Arial"/>
                <w:sz w:val="18"/>
                <w:szCs w:val="18"/>
              </w:rPr>
            </w:pPr>
            <w:r w:rsidRPr="00CA5FCF">
              <w:rPr>
                <w:rFonts w:cs="Arial"/>
                <w:sz w:val="18"/>
                <w:szCs w:val="18"/>
              </w:rPr>
              <w:t>n=12</w:t>
            </w:r>
          </w:p>
          <w:p w14:paraId="6FD9090D" w14:textId="77777777" w:rsidR="009032A8" w:rsidRPr="00CA5FCF" w:rsidRDefault="009032A8" w:rsidP="00725DB2">
            <w:pPr>
              <w:rPr>
                <w:sz w:val="18"/>
                <w:szCs w:val="18"/>
              </w:rPr>
            </w:pPr>
          </w:p>
          <w:p w14:paraId="743D1AB3" w14:textId="77777777" w:rsidR="009032A8" w:rsidRPr="00CA5FCF" w:rsidRDefault="009032A8" w:rsidP="00725DB2">
            <w:pPr>
              <w:rPr>
                <w:sz w:val="18"/>
                <w:szCs w:val="18"/>
              </w:rPr>
            </w:pPr>
            <w:r w:rsidRPr="00CA5FCF">
              <w:rPr>
                <w:sz w:val="18"/>
                <w:szCs w:val="18"/>
              </w:rPr>
              <w:t xml:space="preserve">Four 3-week conditions: </w:t>
            </w:r>
            <w:r w:rsidRPr="00CA5FCF">
              <w:rPr>
                <w:rFonts w:cs="Arial"/>
                <w:sz w:val="18"/>
                <w:szCs w:val="18"/>
              </w:rPr>
              <w:t>inulin, FOS, GOS, and placebo</w:t>
            </w:r>
            <w:r w:rsidRPr="00CA5FCF">
              <w:rPr>
                <w:sz w:val="18"/>
                <w:szCs w:val="18"/>
              </w:rPr>
              <w:t>.</w:t>
            </w:r>
          </w:p>
          <w:p w14:paraId="67364348" w14:textId="77777777" w:rsidR="009032A8" w:rsidRPr="00CA5FCF" w:rsidRDefault="009032A8" w:rsidP="00725DB2">
            <w:pPr>
              <w:rPr>
                <w:sz w:val="18"/>
                <w:szCs w:val="18"/>
              </w:rPr>
            </w:pPr>
          </w:p>
          <w:p w14:paraId="5C0C3017" w14:textId="77777777" w:rsidR="009032A8" w:rsidRDefault="009032A8" w:rsidP="00725DB2">
            <w:pPr>
              <w:rPr>
                <w:sz w:val="18"/>
                <w:szCs w:val="18"/>
              </w:rPr>
            </w:pPr>
            <w:r w:rsidRPr="00CA5FCF">
              <w:rPr>
                <w:sz w:val="18"/>
                <w:szCs w:val="18"/>
              </w:rPr>
              <w:t>Washout: nil.</w:t>
            </w:r>
          </w:p>
          <w:p w14:paraId="0A3588DD" w14:textId="77777777" w:rsidR="009032A8" w:rsidRDefault="009032A8" w:rsidP="00725DB2">
            <w:pPr>
              <w:rPr>
                <w:sz w:val="18"/>
                <w:szCs w:val="18"/>
              </w:rPr>
            </w:pPr>
          </w:p>
          <w:p w14:paraId="27BFFD8B" w14:textId="06678F7C" w:rsidR="009032A8" w:rsidRPr="00CA5FCF" w:rsidRDefault="009032A8" w:rsidP="001540C3">
            <w:pPr>
              <w:rPr>
                <w:sz w:val="18"/>
                <w:szCs w:val="18"/>
              </w:rPr>
            </w:pPr>
            <w:r>
              <w:rPr>
                <w:sz w:val="18"/>
                <w:szCs w:val="18"/>
              </w:rPr>
              <w:t>Study location: The Netherlands.</w:t>
            </w:r>
          </w:p>
        </w:tc>
        <w:tc>
          <w:tcPr>
            <w:tcW w:w="2410" w:type="dxa"/>
          </w:tcPr>
          <w:p w14:paraId="0B6E95EA" w14:textId="77777777" w:rsidR="009032A8" w:rsidRPr="00CA5FCF" w:rsidRDefault="009032A8" w:rsidP="00725DB2">
            <w:pPr>
              <w:rPr>
                <w:sz w:val="18"/>
                <w:szCs w:val="18"/>
              </w:rPr>
            </w:pPr>
            <w:r w:rsidRPr="00CA5FCF">
              <w:rPr>
                <w:sz w:val="18"/>
                <w:szCs w:val="18"/>
              </w:rPr>
              <w:t xml:space="preserve">I: GOS condition: </w:t>
            </w:r>
          </w:p>
          <w:p w14:paraId="2C79F25F" w14:textId="5851006B" w:rsidR="009032A8" w:rsidRPr="00CA5FCF" w:rsidRDefault="009032A8" w:rsidP="00725DB2">
            <w:pPr>
              <w:rPr>
                <w:rFonts w:cs="Arial"/>
                <w:sz w:val="18"/>
                <w:szCs w:val="18"/>
              </w:rPr>
            </w:pPr>
            <w:r w:rsidRPr="00CA5FCF">
              <w:rPr>
                <w:sz w:val="18"/>
                <w:szCs w:val="18"/>
              </w:rPr>
              <w:t xml:space="preserve">Oral dose of 100 mL orange juice containing </w:t>
            </w:r>
            <w:r w:rsidRPr="00CA5FCF">
              <w:rPr>
                <w:rFonts w:cs="Arial"/>
                <w:sz w:val="18"/>
                <w:szCs w:val="18"/>
              </w:rPr>
              <w:t xml:space="preserve">15 g/day GOS, consumed in three even </w:t>
            </w:r>
            <w:r>
              <w:rPr>
                <w:sz w:val="18"/>
                <w:szCs w:val="18"/>
              </w:rPr>
              <w:t>intak</w:t>
            </w:r>
            <w:r w:rsidRPr="00190813">
              <w:rPr>
                <w:sz w:val="18"/>
                <w:szCs w:val="18"/>
              </w:rPr>
              <w:t>e</w:t>
            </w:r>
            <w:r>
              <w:rPr>
                <w:sz w:val="18"/>
                <w:szCs w:val="18"/>
              </w:rPr>
              <w:t>s</w:t>
            </w:r>
            <w:r w:rsidRPr="00CA5FCF">
              <w:rPr>
                <w:rFonts w:cs="Arial"/>
                <w:sz w:val="18"/>
                <w:szCs w:val="18"/>
              </w:rPr>
              <w:t xml:space="preserve"> (5 g) at breakfast, lunch and dinner.</w:t>
            </w:r>
          </w:p>
          <w:p w14:paraId="5D540179" w14:textId="77777777" w:rsidR="009032A8" w:rsidRPr="00CA5FCF" w:rsidRDefault="009032A8" w:rsidP="00725DB2">
            <w:pPr>
              <w:rPr>
                <w:sz w:val="18"/>
                <w:szCs w:val="18"/>
              </w:rPr>
            </w:pPr>
          </w:p>
          <w:p w14:paraId="7AC96C6D" w14:textId="77777777" w:rsidR="009032A8" w:rsidRPr="00CA5FCF" w:rsidRDefault="009032A8" w:rsidP="00725DB2">
            <w:pPr>
              <w:rPr>
                <w:sz w:val="18"/>
                <w:szCs w:val="18"/>
              </w:rPr>
            </w:pPr>
            <w:r w:rsidRPr="00CA5FCF">
              <w:rPr>
                <w:sz w:val="18"/>
                <w:szCs w:val="18"/>
              </w:rPr>
              <w:t>C: Oral dose of 100 mL orange juice.</w:t>
            </w:r>
          </w:p>
        </w:tc>
        <w:tc>
          <w:tcPr>
            <w:tcW w:w="4111" w:type="dxa"/>
          </w:tcPr>
          <w:p w14:paraId="1C5179E6" w14:textId="77777777" w:rsidR="009032A8" w:rsidRPr="00035E50" w:rsidRDefault="009032A8" w:rsidP="00725DB2">
            <w:pPr>
              <w:rPr>
                <w:sz w:val="18"/>
                <w:szCs w:val="18"/>
              </w:rPr>
            </w:pPr>
            <w:r w:rsidRPr="00035E50">
              <w:rPr>
                <w:sz w:val="18"/>
                <w:szCs w:val="18"/>
              </w:rPr>
              <w:t xml:space="preserve">GOS supplement composition: oligo-fructose (0% of dry matter); oligo-galactose (85%); </w:t>
            </w:r>
            <w:r w:rsidRPr="008A0CDF">
              <w:rPr>
                <w:sz w:val="18"/>
                <w:szCs w:val="18"/>
              </w:rPr>
              <w:t xml:space="preserve">glucose/fructose/sucrose </w:t>
            </w:r>
            <w:r w:rsidRPr="00035E50">
              <w:rPr>
                <w:sz w:val="18"/>
                <w:szCs w:val="18"/>
              </w:rPr>
              <w:t>(3.3%); galactose (0.3%); lactose (10.7%);</w:t>
            </w:r>
            <w:r>
              <w:rPr>
                <w:sz w:val="18"/>
                <w:szCs w:val="18"/>
              </w:rPr>
              <w:t xml:space="preserve"> and,</w:t>
            </w:r>
            <w:r w:rsidRPr="00035E50">
              <w:rPr>
                <w:sz w:val="18"/>
                <w:szCs w:val="18"/>
              </w:rPr>
              <w:t xml:space="preserve"> ash (1%).</w:t>
            </w:r>
          </w:p>
          <w:p w14:paraId="7CBE4065" w14:textId="77777777" w:rsidR="009032A8" w:rsidRPr="00035E50" w:rsidRDefault="009032A8" w:rsidP="00725DB2">
            <w:pPr>
              <w:rPr>
                <w:sz w:val="18"/>
                <w:szCs w:val="18"/>
              </w:rPr>
            </w:pPr>
          </w:p>
          <w:p w14:paraId="29B96CB6" w14:textId="77777777" w:rsidR="009032A8" w:rsidRPr="00E72D1C" w:rsidRDefault="009032A8" w:rsidP="00725DB2">
            <w:pPr>
              <w:rPr>
                <w:color w:val="FF0000"/>
                <w:sz w:val="18"/>
                <w:szCs w:val="18"/>
              </w:rPr>
            </w:pPr>
            <w:r w:rsidRPr="00035E50">
              <w:rPr>
                <w:sz w:val="18"/>
                <w:szCs w:val="18"/>
              </w:rPr>
              <w:t>Adherence to orange juice was not reported.</w:t>
            </w:r>
          </w:p>
        </w:tc>
        <w:tc>
          <w:tcPr>
            <w:tcW w:w="2410" w:type="dxa"/>
          </w:tcPr>
          <w:p w14:paraId="48AB9ABB" w14:textId="77777777" w:rsidR="009032A8" w:rsidRDefault="009032A8" w:rsidP="00725DB2">
            <w:pPr>
              <w:rPr>
                <w:sz w:val="18"/>
                <w:szCs w:val="18"/>
              </w:rPr>
            </w:pPr>
            <w:r w:rsidRPr="00035E50">
              <w:rPr>
                <w:sz w:val="18"/>
                <w:szCs w:val="18"/>
              </w:rPr>
              <w:t>TNO Nutrition and Food Research Institute, The Netherlands.</w:t>
            </w:r>
          </w:p>
          <w:p w14:paraId="7A5BD24B" w14:textId="77777777" w:rsidR="009032A8" w:rsidRDefault="009032A8" w:rsidP="00725DB2">
            <w:pPr>
              <w:rPr>
                <w:sz w:val="18"/>
                <w:szCs w:val="18"/>
              </w:rPr>
            </w:pPr>
          </w:p>
          <w:p w14:paraId="2F9F89B3" w14:textId="77777777" w:rsidR="009032A8" w:rsidRPr="00E72D1C" w:rsidRDefault="009032A8" w:rsidP="00725DB2">
            <w:pPr>
              <w:rPr>
                <w:color w:val="FF0000"/>
                <w:sz w:val="18"/>
                <w:szCs w:val="18"/>
              </w:rPr>
            </w:pPr>
            <w:r>
              <w:rPr>
                <w:sz w:val="18"/>
                <w:szCs w:val="18"/>
              </w:rPr>
              <w:t>GOS supplements were provided by Borculo Whey Products, Borculo, The Netherlands.</w:t>
            </w:r>
          </w:p>
        </w:tc>
      </w:tr>
      <w:tr w:rsidR="009032A8" w:rsidRPr="00E72D1C" w14:paraId="2824AFCB" w14:textId="77777777" w:rsidTr="00E21742">
        <w:trPr>
          <w:cantSplit/>
        </w:trPr>
        <w:tc>
          <w:tcPr>
            <w:tcW w:w="1413" w:type="dxa"/>
          </w:tcPr>
          <w:p w14:paraId="3F1D88D2" w14:textId="77777777" w:rsidR="009032A8" w:rsidRPr="00E72D1C" w:rsidRDefault="009032A8" w:rsidP="00725DB2">
            <w:pPr>
              <w:rPr>
                <w:color w:val="FF0000"/>
                <w:sz w:val="18"/>
                <w:szCs w:val="18"/>
              </w:rPr>
            </w:pPr>
            <w:r w:rsidRPr="009D60EE">
              <w:rPr>
                <w:sz w:val="18"/>
                <w:szCs w:val="18"/>
              </w:rPr>
              <w:t>Laxation</w:t>
            </w:r>
          </w:p>
        </w:tc>
        <w:tc>
          <w:tcPr>
            <w:tcW w:w="1134" w:type="dxa"/>
          </w:tcPr>
          <w:p w14:paraId="6B16B5DB" w14:textId="77777777" w:rsidR="009032A8" w:rsidRPr="00E72D1C" w:rsidRDefault="009032A8" w:rsidP="00725DB2">
            <w:pPr>
              <w:rPr>
                <w:color w:val="FF0000"/>
                <w:sz w:val="18"/>
                <w:szCs w:val="18"/>
              </w:rPr>
            </w:pPr>
            <w:r w:rsidRPr="00E72D1C">
              <w:rPr>
                <w:sz w:val="18"/>
                <w:szCs w:val="18"/>
              </w:rPr>
              <w:t>Alles (1999)</w:t>
            </w:r>
          </w:p>
        </w:tc>
        <w:tc>
          <w:tcPr>
            <w:tcW w:w="2551" w:type="dxa"/>
          </w:tcPr>
          <w:p w14:paraId="614B7D08" w14:textId="77777777" w:rsidR="009032A8" w:rsidRPr="00082E9F" w:rsidRDefault="009032A8" w:rsidP="00725DB2">
            <w:pPr>
              <w:rPr>
                <w:sz w:val="18"/>
                <w:szCs w:val="18"/>
              </w:rPr>
            </w:pPr>
            <w:r w:rsidRPr="00082E9F">
              <w:rPr>
                <w:sz w:val="18"/>
                <w:szCs w:val="18"/>
              </w:rPr>
              <w:t>Parallel, controlled.</w:t>
            </w:r>
          </w:p>
          <w:p w14:paraId="28087A18" w14:textId="77777777" w:rsidR="009032A8" w:rsidRDefault="009032A8" w:rsidP="00725DB2">
            <w:pPr>
              <w:rPr>
                <w:color w:val="FF0000"/>
                <w:sz w:val="18"/>
                <w:szCs w:val="18"/>
              </w:rPr>
            </w:pPr>
          </w:p>
          <w:p w14:paraId="6840AA8E" w14:textId="77777777" w:rsidR="009032A8" w:rsidRPr="00E72D1C" w:rsidRDefault="009032A8" w:rsidP="00725DB2">
            <w:pPr>
              <w:rPr>
                <w:color w:val="FF0000"/>
                <w:sz w:val="18"/>
                <w:szCs w:val="18"/>
              </w:rPr>
            </w:pPr>
            <w:r>
              <w:rPr>
                <w:sz w:val="18"/>
                <w:szCs w:val="18"/>
              </w:rPr>
              <w:t>Randomisation not stated.</w:t>
            </w:r>
          </w:p>
          <w:p w14:paraId="13DC0080" w14:textId="77777777" w:rsidR="009032A8" w:rsidRPr="00715934" w:rsidRDefault="009032A8" w:rsidP="00725DB2">
            <w:pPr>
              <w:rPr>
                <w:sz w:val="18"/>
                <w:szCs w:val="18"/>
              </w:rPr>
            </w:pPr>
          </w:p>
          <w:p w14:paraId="7A0BEC16" w14:textId="16E45F34" w:rsidR="009032A8" w:rsidRPr="00715934" w:rsidRDefault="009032A8" w:rsidP="00725DB2">
            <w:pPr>
              <w:rPr>
                <w:sz w:val="18"/>
                <w:szCs w:val="18"/>
              </w:rPr>
            </w:pPr>
            <w:r w:rsidRPr="00715934">
              <w:rPr>
                <w:sz w:val="18"/>
                <w:szCs w:val="18"/>
              </w:rPr>
              <w:t xml:space="preserve">n=40 </w:t>
            </w:r>
            <w:r>
              <w:rPr>
                <w:sz w:val="18"/>
                <w:szCs w:val="18"/>
              </w:rPr>
              <w:t>(placebo n=13, low-</w:t>
            </w:r>
            <w:r w:rsidR="00323116">
              <w:rPr>
                <w:sz w:val="18"/>
                <w:szCs w:val="18"/>
              </w:rPr>
              <w:t>G</w:t>
            </w:r>
            <w:r w:rsidRPr="004B14EC">
              <w:rPr>
                <w:sz w:val="18"/>
                <w:szCs w:val="18"/>
              </w:rPr>
              <w:t>OS</w:t>
            </w:r>
            <w:r w:rsidR="00323116">
              <w:rPr>
                <w:sz w:val="18"/>
                <w:szCs w:val="18"/>
              </w:rPr>
              <w:t xml:space="preserve"> n=13, and high-G</w:t>
            </w:r>
            <w:r w:rsidRPr="00715934">
              <w:rPr>
                <w:sz w:val="18"/>
                <w:szCs w:val="18"/>
              </w:rPr>
              <w:t>OS n=14).</w:t>
            </w:r>
          </w:p>
          <w:p w14:paraId="366D1409" w14:textId="77777777" w:rsidR="009032A8" w:rsidRPr="00E72D1C" w:rsidRDefault="009032A8" w:rsidP="00725DB2">
            <w:pPr>
              <w:rPr>
                <w:color w:val="FF0000"/>
                <w:sz w:val="18"/>
                <w:szCs w:val="18"/>
              </w:rPr>
            </w:pPr>
          </w:p>
          <w:p w14:paraId="11A6637B" w14:textId="1544A136" w:rsidR="009032A8" w:rsidRPr="00E72D1C" w:rsidRDefault="009032A8" w:rsidP="00725DB2">
            <w:pPr>
              <w:rPr>
                <w:color w:val="FF0000"/>
                <w:sz w:val="18"/>
                <w:szCs w:val="18"/>
              </w:rPr>
            </w:pPr>
            <w:r w:rsidRPr="00715934">
              <w:rPr>
                <w:sz w:val="18"/>
                <w:szCs w:val="18"/>
              </w:rPr>
              <w:t xml:space="preserve">Participants divided into three groups. ‘Run-in diet’ for 3-weeks, followed by one of three 3-week conditions: placebo </w:t>
            </w:r>
            <w:r>
              <w:rPr>
                <w:sz w:val="18"/>
                <w:szCs w:val="18"/>
              </w:rPr>
              <w:t>and two</w:t>
            </w:r>
            <w:r w:rsidRPr="002C3629">
              <w:rPr>
                <w:sz w:val="18"/>
                <w:szCs w:val="18"/>
              </w:rPr>
              <w:t xml:space="preserve"> </w:t>
            </w:r>
            <w:r>
              <w:rPr>
                <w:sz w:val="18"/>
                <w:szCs w:val="18"/>
              </w:rPr>
              <w:t>intak</w:t>
            </w:r>
            <w:r w:rsidRPr="00190813">
              <w:rPr>
                <w:sz w:val="18"/>
                <w:szCs w:val="18"/>
              </w:rPr>
              <w:t>e</w:t>
            </w:r>
            <w:r w:rsidRPr="002C3629">
              <w:rPr>
                <w:sz w:val="18"/>
                <w:szCs w:val="18"/>
              </w:rPr>
              <w:t xml:space="preserve"> levels </w:t>
            </w:r>
            <w:r w:rsidR="00323116">
              <w:rPr>
                <w:sz w:val="18"/>
                <w:szCs w:val="18"/>
              </w:rPr>
              <w:t>of G</w:t>
            </w:r>
            <w:r w:rsidRPr="002C3629">
              <w:rPr>
                <w:sz w:val="18"/>
                <w:szCs w:val="18"/>
              </w:rPr>
              <w:t>OS.</w:t>
            </w:r>
          </w:p>
          <w:p w14:paraId="374320BA" w14:textId="77777777" w:rsidR="009032A8" w:rsidRPr="00715934" w:rsidRDefault="009032A8" w:rsidP="00725DB2">
            <w:pPr>
              <w:rPr>
                <w:sz w:val="18"/>
                <w:szCs w:val="18"/>
              </w:rPr>
            </w:pPr>
          </w:p>
          <w:p w14:paraId="19FCE027" w14:textId="77777777" w:rsidR="009032A8" w:rsidRDefault="009032A8" w:rsidP="009C6B56">
            <w:pPr>
              <w:rPr>
                <w:sz w:val="18"/>
                <w:szCs w:val="18"/>
              </w:rPr>
            </w:pPr>
            <w:r w:rsidRPr="00715934">
              <w:rPr>
                <w:sz w:val="18"/>
                <w:szCs w:val="18"/>
              </w:rPr>
              <w:t>Washout: n/a</w:t>
            </w:r>
            <w:r>
              <w:rPr>
                <w:sz w:val="18"/>
                <w:szCs w:val="18"/>
              </w:rPr>
              <w:t>.</w:t>
            </w:r>
          </w:p>
          <w:p w14:paraId="19E54C77" w14:textId="77777777" w:rsidR="009032A8" w:rsidRDefault="009032A8" w:rsidP="009C6B56">
            <w:pPr>
              <w:rPr>
                <w:sz w:val="18"/>
                <w:szCs w:val="18"/>
              </w:rPr>
            </w:pPr>
          </w:p>
          <w:p w14:paraId="57755A05" w14:textId="34BBD7DF" w:rsidR="009032A8" w:rsidRPr="00E72D1C" w:rsidRDefault="009032A8" w:rsidP="00BB189A">
            <w:pPr>
              <w:rPr>
                <w:color w:val="FF0000"/>
                <w:sz w:val="18"/>
                <w:szCs w:val="18"/>
              </w:rPr>
            </w:pPr>
            <w:r>
              <w:rPr>
                <w:sz w:val="18"/>
                <w:szCs w:val="18"/>
              </w:rPr>
              <w:t>Study location: The Netherlands.</w:t>
            </w:r>
          </w:p>
        </w:tc>
        <w:tc>
          <w:tcPr>
            <w:tcW w:w="2410" w:type="dxa"/>
          </w:tcPr>
          <w:p w14:paraId="4C0B65E1" w14:textId="3303D36F" w:rsidR="009032A8" w:rsidRPr="00326EFD" w:rsidRDefault="009032A8" w:rsidP="00725DB2">
            <w:pPr>
              <w:rPr>
                <w:rFonts w:cs="Arial"/>
                <w:sz w:val="18"/>
                <w:szCs w:val="18"/>
              </w:rPr>
            </w:pPr>
            <w:r w:rsidRPr="00326EFD">
              <w:rPr>
                <w:rFonts w:cs="Arial"/>
                <w:sz w:val="18"/>
                <w:szCs w:val="18"/>
              </w:rPr>
              <w:t>I: Oral dose of 150 g fruit juice contain</w:t>
            </w:r>
            <w:r w:rsidR="00323116">
              <w:rPr>
                <w:rFonts w:cs="Arial"/>
                <w:sz w:val="18"/>
                <w:szCs w:val="18"/>
              </w:rPr>
              <w:t>ing Elix’or (providing a total G</w:t>
            </w:r>
            <w:r w:rsidRPr="00326EFD">
              <w:rPr>
                <w:rFonts w:cs="Arial"/>
                <w:sz w:val="18"/>
                <w:szCs w:val="18"/>
              </w:rPr>
              <w:t xml:space="preserve">OS </w:t>
            </w:r>
            <w:r>
              <w:rPr>
                <w:sz w:val="18"/>
                <w:szCs w:val="18"/>
              </w:rPr>
              <w:t>intak</w:t>
            </w:r>
            <w:r w:rsidRPr="00190813">
              <w:rPr>
                <w:sz w:val="18"/>
                <w:szCs w:val="18"/>
              </w:rPr>
              <w:t>e</w:t>
            </w:r>
            <w:r w:rsidRPr="00326EFD">
              <w:rPr>
                <w:rFonts w:cs="Arial"/>
                <w:sz w:val="18"/>
                <w:szCs w:val="18"/>
              </w:rPr>
              <w:t xml:space="preserve"> level of 8.5 g/day or 14.4 g</w:t>
            </w:r>
            <w:r>
              <w:rPr>
                <w:rFonts w:cs="Arial"/>
                <w:sz w:val="18"/>
                <w:szCs w:val="18"/>
              </w:rPr>
              <w:t xml:space="preserve">/day), consumed in three equal </w:t>
            </w:r>
            <w:r>
              <w:rPr>
                <w:sz w:val="18"/>
                <w:szCs w:val="18"/>
              </w:rPr>
              <w:t>intak</w:t>
            </w:r>
            <w:r w:rsidRPr="00190813">
              <w:rPr>
                <w:sz w:val="18"/>
                <w:szCs w:val="18"/>
              </w:rPr>
              <w:t>e</w:t>
            </w:r>
            <w:r>
              <w:rPr>
                <w:sz w:val="18"/>
                <w:szCs w:val="18"/>
              </w:rPr>
              <w:t>s</w:t>
            </w:r>
            <w:r w:rsidRPr="00326EFD">
              <w:rPr>
                <w:rFonts w:cs="Arial"/>
                <w:sz w:val="18"/>
                <w:szCs w:val="18"/>
              </w:rPr>
              <w:t xml:space="preserve"> per day with each meal.</w:t>
            </w:r>
          </w:p>
          <w:p w14:paraId="602AC183" w14:textId="79DB418B" w:rsidR="009032A8" w:rsidRPr="00326EFD" w:rsidRDefault="009032A8" w:rsidP="00725DB2">
            <w:pPr>
              <w:rPr>
                <w:rFonts w:cs="Arial"/>
                <w:sz w:val="18"/>
                <w:szCs w:val="18"/>
              </w:rPr>
            </w:pPr>
          </w:p>
          <w:p w14:paraId="634E9CEC" w14:textId="77777777" w:rsidR="009032A8" w:rsidRPr="00E72D1C" w:rsidRDefault="009032A8" w:rsidP="00725DB2">
            <w:pPr>
              <w:rPr>
                <w:rFonts w:cs="Arial"/>
                <w:color w:val="FF0000"/>
                <w:sz w:val="18"/>
                <w:szCs w:val="18"/>
              </w:rPr>
            </w:pPr>
            <w:r w:rsidRPr="00326EFD">
              <w:rPr>
                <w:rFonts w:cs="Arial"/>
                <w:sz w:val="18"/>
                <w:szCs w:val="18"/>
              </w:rPr>
              <w:t>C: Oral dose of 150 g fruit juice, containing lactose and glucose only, consumed three times per day with each meal.</w:t>
            </w:r>
          </w:p>
        </w:tc>
        <w:tc>
          <w:tcPr>
            <w:tcW w:w="4111" w:type="dxa"/>
          </w:tcPr>
          <w:p w14:paraId="59E6FDDF" w14:textId="2AA78C69" w:rsidR="009032A8" w:rsidRPr="00A807DB" w:rsidRDefault="009032A8" w:rsidP="00725DB2">
            <w:pPr>
              <w:rPr>
                <w:rFonts w:cs="Arial"/>
                <w:sz w:val="18"/>
                <w:szCs w:val="18"/>
                <w:lang w:val="en"/>
              </w:rPr>
            </w:pPr>
            <w:r w:rsidRPr="00715934">
              <w:rPr>
                <w:sz w:val="18"/>
                <w:szCs w:val="18"/>
              </w:rPr>
              <w:t>Elix’or; a low- and</w:t>
            </w:r>
            <w:r w:rsidR="00323116">
              <w:rPr>
                <w:rFonts w:cs="Arial"/>
                <w:sz w:val="18"/>
                <w:szCs w:val="18"/>
                <w:lang w:val="en"/>
              </w:rPr>
              <w:t xml:space="preserve"> high-G</w:t>
            </w:r>
            <w:r w:rsidRPr="00715934">
              <w:rPr>
                <w:rFonts w:cs="Arial"/>
                <w:sz w:val="18"/>
                <w:szCs w:val="18"/>
                <w:lang w:val="en"/>
              </w:rPr>
              <w:t>OS mixture was composed o</w:t>
            </w:r>
            <w:r w:rsidR="00323116">
              <w:rPr>
                <w:rFonts w:cs="Arial"/>
                <w:sz w:val="18"/>
                <w:szCs w:val="18"/>
                <w:lang w:val="en"/>
              </w:rPr>
              <w:t>f a G</w:t>
            </w:r>
            <w:r w:rsidRPr="00715934">
              <w:rPr>
                <w:rFonts w:cs="Arial"/>
                <w:sz w:val="18"/>
                <w:szCs w:val="18"/>
                <w:lang w:val="en"/>
              </w:rPr>
              <w:t>OS syrup</w:t>
            </w:r>
            <w:r w:rsidR="00323116">
              <w:rPr>
                <w:rFonts w:cs="Arial"/>
                <w:sz w:val="18"/>
                <w:szCs w:val="18"/>
                <w:lang w:val="en"/>
              </w:rPr>
              <w:t>. The high-G</w:t>
            </w:r>
            <w:r w:rsidRPr="00A807DB">
              <w:rPr>
                <w:rFonts w:cs="Arial"/>
                <w:sz w:val="18"/>
                <w:szCs w:val="18"/>
                <w:lang w:val="en"/>
              </w:rPr>
              <w:t>OS mixture consisted of “75</w:t>
            </w:r>
            <w:r w:rsidR="00323116">
              <w:rPr>
                <w:rFonts w:cs="Arial"/>
                <w:sz w:val="18"/>
                <w:szCs w:val="18"/>
                <w:lang w:val="en"/>
              </w:rPr>
              <w:t>% dry matter, of which 62% was G</w:t>
            </w:r>
            <w:r w:rsidRPr="00A807DB">
              <w:rPr>
                <w:rFonts w:cs="Arial"/>
                <w:sz w:val="18"/>
                <w:szCs w:val="18"/>
                <w:lang w:val="en"/>
              </w:rPr>
              <w:t>OS with a DP of 2 (32% nondigestible disaccharides), 3 (35%), 4 (23%), 5 (8%), or &gt;5 (2%). The remaining dry matter consisted of 20% lactose and 18% monosaccharides (mainly glucose).”</w:t>
            </w:r>
          </w:p>
          <w:p w14:paraId="0DA642AF" w14:textId="77777777" w:rsidR="009032A8" w:rsidRPr="00A807DB" w:rsidRDefault="009032A8" w:rsidP="00725DB2">
            <w:pPr>
              <w:rPr>
                <w:rFonts w:cs="Arial"/>
                <w:sz w:val="18"/>
                <w:szCs w:val="18"/>
                <w:lang w:val="en"/>
              </w:rPr>
            </w:pPr>
          </w:p>
          <w:p w14:paraId="3E58F1EA" w14:textId="1BBA7755" w:rsidR="009032A8" w:rsidRPr="00A807DB" w:rsidRDefault="00323116" w:rsidP="00725DB2">
            <w:pPr>
              <w:rPr>
                <w:rFonts w:cs="Arial"/>
                <w:sz w:val="18"/>
                <w:szCs w:val="18"/>
                <w:lang w:val="en"/>
              </w:rPr>
            </w:pPr>
            <w:r>
              <w:rPr>
                <w:rFonts w:cs="Arial"/>
                <w:sz w:val="18"/>
                <w:szCs w:val="18"/>
                <w:lang w:val="en"/>
              </w:rPr>
              <w:t>The low-GOS mixture, contained less G</w:t>
            </w:r>
            <w:r w:rsidR="009032A8" w:rsidRPr="00A807DB">
              <w:rPr>
                <w:rFonts w:cs="Arial"/>
                <w:sz w:val="18"/>
                <w:szCs w:val="18"/>
                <w:lang w:val="en"/>
              </w:rPr>
              <w:t>OS syrup, and more glucose and lactose to equalise the amount of non-oligosaccharide components.</w:t>
            </w:r>
          </w:p>
          <w:p w14:paraId="75457CA4" w14:textId="77777777" w:rsidR="009032A8" w:rsidRPr="00A807DB" w:rsidRDefault="009032A8" w:rsidP="00725DB2">
            <w:pPr>
              <w:rPr>
                <w:rFonts w:cs="Arial"/>
                <w:sz w:val="18"/>
                <w:szCs w:val="18"/>
                <w:lang w:val="en"/>
              </w:rPr>
            </w:pPr>
          </w:p>
          <w:p w14:paraId="05CB893B" w14:textId="4AE37914" w:rsidR="009032A8" w:rsidRPr="00A807DB" w:rsidRDefault="009032A8" w:rsidP="00725DB2">
            <w:pPr>
              <w:rPr>
                <w:rFonts w:cs="Arial"/>
                <w:sz w:val="18"/>
                <w:szCs w:val="18"/>
                <w:lang w:val="en"/>
              </w:rPr>
            </w:pPr>
            <w:r w:rsidRPr="00A807DB">
              <w:rPr>
                <w:rFonts w:cs="Arial"/>
                <w:sz w:val="18"/>
                <w:szCs w:val="18"/>
                <w:lang w:val="en"/>
              </w:rPr>
              <w:t>The placebo mixture contained glucose and lactose i</w:t>
            </w:r>
            <w:r w:rsidR="00323116">
              <w:rPr>
                <w:rFonts w:cs="Arial"/>
                <w:sz w:val="18"/>
                <w:szCs w:val="18"/>
                <w:lang w:val="en"/>
              </w:rPr>
              <w:t>n amounts equal to that in the G</w:t>
            </w:r>
            <w:r w:rsidRPr="00A807DB">
              <w:rPr>
                <w:rFonts w:cs="Arial"/>
                <w:sz w:val="18"/>
                <w:szCs w:val="18"/>
                <w:lang w:val="en"/>
              </w:rPr>
              <w:t>OS mixtures.</w:t>
            </w:r>
          </w:p>
          <w:p w14:paraId="6C5C5467" w14:textId="77777777" w:rsidR="009032A8" w:rsidRPr="00BE3513" w:rsidRDefault="009032A8" w:rsidP="00725DB2">
            <w:pPr>
              <w:rPr>
                <w:rFonts w:cs="Arial"/>
                <w:sz w:val="18"/>
                <w:szCs w:val="18"/>
                <w:lang w:val="en"/>
              </w:rPr>
            </w:pPr>
          </w:p>
          <w:p w14:paraId="15A62168" w14:textId="3860827F" w:rsidR="009032A8" w:rsidRPr="009C6B56" w:rsidRDefault="009032A8" w:rsidP="00725DB2">
            <w:pPr>
              <w:rPr>
                <w:sz w:val="18"/>
                <w:szCs w:val="18"/>
              </w:rPr>
            </w:pPr>
            <w:r w:rsidRPr="00BE3513">
              <w:rPr>
                <w:sz w:val="18"/>
                <w:szCs w:val="18"/>
              </w:rPr>
              <w:t>Adherence: “one of the 3 daily servings was consumed with a hot meal at our department. The other 2 servings were consumed outside the department; however, compliance was near 100% based on inspection of the juice bottles.”</w:t>
            </w:r>
          </w:p>
        </w:tc>
        <w:tc>
          <w:tcPr>
            <w:tcW w:w="2410" w:type="dxa"/>
          </w:tcPr>
          <w:p w14:paraId="78007B06" w14:textId="77777777" w:rsidR="009032A8" w:rsidRPr="00722E74" w:rsidRDefault="009032A8" w:rsidP="00821742">
            <w:pPr>
              <w:rPr>
                <w:sz w:val="18"/>
                <w:szCs w:val="18"/>
              </w:rPr>
            </w:pPr>
            <w:r w:rsidRPr="00722E74">
              <w:rPr>
                <w:sz w:val="18"/>
                <w:szCs w:val="18"/>
              </w:rPr>
              <w:t>Elix’or was provided by Borculo Whey Products (Borculo, Netherlands).</w:t>
            </w:r>
          </w:p>
          <w:p w14:paraId="74406563" w14:textId="77777777" w:rsidR="009032A8" w:rsidRPr="00722E74" w:rsidRDefault="009032A8" w:rsidP="00821742">
            <w:pPr>
              <w:rPr>
                <w:sz w:val="18"/>
                <w:szCs w:val="18"/>
              </w:rPr>
            </w:pPr>
          </w:p>
          <w:p w14:paraId="716F5A80" w14:textId="284407EA" w:rsidR="009032A8" w:rsidRPr="00E72D1C" w:rsidRDefault="009032A8" w:rsidP="00821742">
            <w:pPr>
              <w:rPr>
                <w:color w:val="FF0000"/>
                <w:sz w:val="18"/>
                <w:szCs w:val="18"/>
              </w:rPr>
            </w:pPr>
            <w:r w:rsidRPr="00722E74">
              <w:rPr>
                <w:sz w:val="18"/>
                <w:szCs w:val="18"/>
              </w:rPr>
              <w:t>Research was supported by the Netherlands Ministry of Agriculture, the Dutch Dairy Foundation on Nutrition and Health, AVEBE (Netherlands), Nutreco (Netherlands), and ORAFTI (Belgium).</w:t>
            </w:r>
          </w:p>
        </w:tc>
      </w:tr>
      <w:tr w:rsidR="009032A8" w:rsidRPr="00E72D1C" w14:paraId="0CEA3418" w14:textId="77777777" w:rsidTr="00E21742">
        <w:trPr>
          <w:cantSplit/>
        </w:trPr>
        <w:tc>
          <w:tcPr>
            <w:tcW w:w="1413" w:type="dxa"/>
          </w:tcPr>
          <w:p w14:paraId="2278DA03" w14:textId="77777777" w:rsidR="009032A8" w:rsidRPr="00EB30C0" w:rsidRDefault="009032A8" w:rsidP="00725DB2">
            <w:pPr>
              <w:rPr>
                <w:sz w:val="18"/>
                <w:szCs w:val="18"/>
              </w:rPr>
            </w:pPr>
            <w:r w:rsidRPr="00EB30C0">
              <w:rPr>
                <w:sz w:val="18"/>
                <w:szCs w:val="18"/>
              </w:rPr>
              <w:t>Blood cholesterol</w:t>
            </w:r>
          </w:p>
        </w:tc>
        <w:tc>
          <w:tcPr>
            <w:tcW w:w="1134" w:type="dxa"/>
          </w:tcPr>
          <w:p w14:paraId="115061B6" w14:textId="77777777" w:rsidR="009032A8" w:rsidRPr="00EB30C0" w:rsidRDefault="009032A8" w:rsidP="00725DB2">
            <w:pPr>
              <w:rPr>
                <w:sz w:val="18"/>
                <w:szCs w:val="18"/>
              </w:rPr>
            </w:pPr>
            <w:r w:rsidRPr="00EB30C0">
              <w:rPr>
                <w:sz w:val="18"/>
                <w:szCs w:val="18"/>
              </w:rPr>
              <w:t>Vulevic (2008)</w:t>
            </w:r>
          </w:p>
        </w:tc>
        <w:tc>
          <w:tcPr>
            <w:tcW w:w="2551" w:type="dxa"/>
          </w:tcPr>
          <w:p w14:paraId="53C13492" w14:textId="77777777" w:rsidR="009032A8" w:rsidRPr="00EB30C0" w:rsidRDefault="009032A8" w:rsidP="00725DB2">
            <w:pPr>
              <w:rPr>
                <w:rFonts w:cs="Arial"/>
                <w:sz w:val="18"/>
                <w:szCs w:val="18"/>
              </w:rPr>
            </w:pPr>
            <w:r w:rsidRPr="00EB30C0">
              <w:rPr>
                <w:rFonts w:cs="Arial"/>
                <w:sz w:val="18"/>
                <w:szCs w:val="18"/>
              </w:rPr>
              <w:t>Crossover.</w:t>
            </w:r>
          </w:p>
          <w:p w14:paraId="360A9A62" w14:textId="77777777" w:rsidR="009032A8" w:rsidRDefault="009032A8" w:rsidP="00725DB2">
            <w:pPr>
              <w:rPr>
                <w:rFonts w:cs="Arial"/>
                <w:color w:val="FF0000"/>
                <w:sz w:val="18"/>
                <w:szCs w:val="18"/>
              </w:rPr>
            </w:pPr>
          </w:p>
          <w:p w14:paraId="4FD1772B" w14:textId="77777777" w:rsidR="009032A8" w:rsidRDefault="009032A8" w:rsidP="00725DB2">
            <w:pPr>
              <w:rPr>
                <w:sz w:val="18"/>
                <w:szCs w:val="18"/>
              </w:rPr>
            </w:pPr>
            <w:r>
              <w:rPr>
                <w:sz w:val="18"/>
                <w:szCs w:val="18"/>
              </w:rPr>
              <w:t>Randomised.</w:t>
            </w:r>
          </w:p>
          <w:p w14:paraId="31D59718" w14:textId="77777777" w:rsidR="009032A8" w:rsidRPr="0025124F" w:rsidRDefault="009032A8" w:rsidP="00725DB2">
            <w:pPr>
              <w:rPr>
                <w:rFonts w:cs="Arial"/>
                <w:sz w:val="18"/>
                <w:szCs w:val="18"/>
              </w:rPr>
            </w:pPr>
          </w:p>
          <w:p w14:paraId="6A1251D4" w14:textId="77777777" w:rsidR="009032A8" w:rsidRPr="0025124F" w:rsidRDefault="009032A8" w:rsidP="00725DB2">
            <w:pPr>
              <w:rPr>
                <w:rFonts w:cs="Arial"/>
                <w:sz w:val="18"/>
                <w:szCs w:val="18"/>
              </w:rPr>
            </w:pPr>
            <w:r w:rsidRPr="0025124F">
              <w:rPr>
                <w:rFonts w:cs="Arial"/>
                <w:sz w:val="18"/>
                <w:szCs w:val="18"/>
              </w:rPr>
              <w:t>Data represents n=41.</w:t>
            </w:r>
          </w:p>
          <w:p w14:paraId="5BDA1140" w14:textId="77777777" w:rsidR="009032A8" w:rsidRPr="0025124F" w:rsidRDefault="009032A8" w:rsidP="00725DB2">
            <w:pPr>
              <w:rPr>
                <w:rFonts w:cs="Arial"/>
                <w:sz w:val="18"/>
                <w:szCs w:val="18"/>
              </w:rPr>
            </w:pPr>
          </w:p>
          <w:p w14:paraId="57D498EB" w14:textId="77777777" w:rsidR="009032A8" w:rsidRPr="0025124F" w:rsidRDefault="009032A8" w:rsidP="00725DB2">
            <w:pPr>
              <w:rPr>
                <w:sz w:val="18"/>
                <w:szCs w:val="18"/>
              </w:rPr>
            </w:pPr>
            <w:r w:rsidRPr="0025124F">
              <w:rPr>
                <w:sz w:val="18"/>
                <w:szCs w:val="18"/>
              </w:rPr>
              <w:t>Two 10-week conditions: placebo and GOS.</w:t>
            </w:r>
          </w:p>
          <w:p w14:paraId="11FB52F4" w14:textId="77777777" w:rsidR="009032A8" w:rsidRPr="0025124F" w:rsidRDefault="009032A8" w:rsidP="00725DB2">
            <w:pPr>
              <w:rPr>
                <w:rFonts w:cs="Arial"/>
                <w:sz w:val="18"/>
                <w:szCs w:val="18"/>
              </w:rPr>
            </w:pPr>
          </w:p>
          <w:p w14:paraId="796B86E0" w14:textId="77777777" w:rsidR="009032A8" w:rsidRDefault="009032A8" w:rsidP="00725DB2">
            <w:pPr>
              <w:rPr>
                <w:rFonts w:cs="Arial"/>
                <w:sz w:val="18"/>
                <w:szCs w:val="18"/>
              </w:rPr>
            </w:pPr>
            <w:r w:rsidRPr="0025124F">
              <w:rPr>
                <w:rFonts w:cs="Arial"/>
                <w:sz w:val="18"/>
                <w:szCs w:val="18"/>
              </w:rPr>
              <w:t>Washout: 4 weeks.</w:t>
            </w:r>
          </w:p>
          <w:p w14:paraId="356E3810" w14:textId="77777777" w:rsidR="009032A8" w:rsidRDefault="009032A8" w:rsidP="00725DB2">
            <w:pPr>
              <w:rPr>
                <w:rFonts w:cs="Arial"/>
                <w:sz w:val="18"/>
                <w:szCs w:val="18"/>
              </w:rPr>
            </w:pPr>
          </w:p>
          <w:p w14:paraId="71AA1D79" w14:textId="3B217B7A" w:rsidR="009032A8" w:rsidRPr="00E72D1C" w:rsidRDefault="009032A8" w:rsidP="00725DB2">
            <w:pPr>
              <w:rPr>
                <w:color w:val="FF0000"/>
                <w:sz w:val="18"/>
                <w:szCs w:val="18"/>
              </w:rPr>
            </w:pPr>
            <w:r>
              <w:rPr>
                <w:sz w:val="18"/>
                <w:szCs w:val="18"/>
              </w:rPr>
              <w:t>Study location: United Kingdom.</w:t>
            </w:r>
          </w:p>
        </w:tc>
        <w:tc>
          <w:tcPr>
            <w:tcW w:w="2410" w:type="dxa"/>
          </w:tcPr>
          <w:p w14:paraId="2639AC0F" w14:textId="059ED871" w:rsidR="009032A8" w:rsidRPr="00E72D1C" w:rsidRDefault="009032A8" w:rsidP="00725DB2">
            <w:pPr>
              <w:rPr>
                <w:rFonts w:cs="Arial"/>
                <w:color w:val="FF0000"/>
                <w:sz w:val="18"/>
                <w:szCs w:val="18"/>
              </w:rPr>
            </w:pPr>
            <w:r w:rsidRPr="00791CBE">
              <w:rPr>
                <w:rFonts w:cs="Arial"/>
                <w:sz w:val="18"/>
                <w:szCs w:val="18"/>
              </w:rPr>
              <w:t>I: B-GOS (Bi</w:t>
            </w:r>
            <w:r w:rsidRPr="00791CBE">
              <w:rPr>
                <w:rFonts w:cs="Arial"/>
                <w:sz w:val="18"/>
                <w:szCs w:val="18"/>
                <w:vertAlign w:val="superscript"/>
              </w:rPr>
              <w:t>2</w:t>
            </w:r>
            <w:r w:rsidRPr="00791CBE">
              <w:rPr>
                <w:rFonts w:cs="Arial"/>
                <w:sz w:val="18"/>
                <w:szCs w:val="18"/>
              </w:rPr>
              <w:t>muno; 5.5 g/day) provided in powder form providing 2.64 g GOS/day.</w:t>
            </w:r>
          </w:p>
          <w:p w14:paraId="0D8A9418" w14:textId="77777777" w:rsidR="009032A8" w:rsidRPr="00791CBE" w:rsidRDefault="009032A8" w:rsidP="00725DB2">
            <w:pPr>
              <w:rPr>
                <w:sz w:val="18"/>
                <w:szCs w:val="18"/>
              </w:rPr>
            </w:pPr>
          </w:p>
          <w:p w14:paraId="18600BA0" w14:textId="0FCD15E7" w:rsidR="009032A8" w:rsidRPr="00791CBE" w:rsidRDefault="009032A8" w:rsidP="00725DB2">
            <w:pPr>
              <w:rPr>
                <w:sz w:val="18"/>
                <w:szCs w:val="18"/>
              </w:rPr>
            </w:pPr>
            <w:r w:rsidRPr="00791CBE">
              <w:rPr>
                <w:sz w:val="18"/>
                <w:szCs w:val="18"/>
              </w:rPr>
              <w:t>C: maltodextrin (5.5 g/day) provided in powder form</w:t>
            </w:r>
            <w:r w:rsidRPr="00791CBE">
              <w:rPr>
                <w:rFonts w:cs="Arial"/>
                <w:sz w:val="18"/>
                <w:szCs w:val="18"/>
              </w:rPr>
              <w:t>.</w:t>
            </w:r>
          </w:p>
          <w:p w14:paraId="37AAC7BA" w14:textId="77777777" w:rsidR="009032A8" w:rsidRPr="00791CBE" w:rsidRDefault="009032A8" w:rsidP="00725DB2">
            <w:pPr>
              <w:rPr>
                <w:sz w:val="18"/>
                <w:szCs w:val="18"/>
              </w:rPr>
            </w:pPr>
          </w:p>
          <w:p w14:paraId="2DBCF2CD" w14:textId="77777777" w:rsidR="009032A8" w:rsidRPr="00E72D1C" w:rsidRDefault="009032A8" w:rsidP="00725DB2">
            <w:pPr>
              <w:rPr>
                <w:color w:val="FF0000"/>
                <w:sz w:val="18"/>
                <w:szCs w:val="18"/>
              </w:rPr>
            </w:pPr>
            <w:r w:rsidRPr="00791CBE">
              <w:rPr>
                <w:sz w:val="18"/>
                <w:szCs w:val="18"/>
              </w:rPr>
              <w:t>I+C: participants instructed to reconstitute sachets by mixing with water immediately prior to consumption. Instructed to consume it at the same time of day, once per day.</w:t>
            </w:r>
          </w:p>
        </w:tc>
        <w:tc>
          <w:tcPr>
            <w:tcW w:w="4111" w:type="dxa"/>
          </w:tcPr>
          <w:p w14:paraId="44BB8035" w14:textId="247F44EA" w:rsidR="009032A8" w:rsidRPr="00791CBE" w:rsidRDefault="009032A8" w:rsidP="00725DB2">
            <w:pPr>
              <w:rPr>
                <w:rFonts w:cs="Arial"/>
                <w:sz w:val="18"/>
                <w:szCs w:val="18"/>
              </w:rPr>
            </w:pPr>
            <w:r w:rsidRPr="00791CBE">
              <w:rPr>
                <w:rFonts w:cs="Arial"/>
                <w:sz w:val="18"/>
                <w:szCs w:val="18"/>
              </w:rPr>
              <w:t>GOS content of B-GOS (Bi</w:t>
            </w:r>
            <w:r w:rsidRPr="00791CBE">
              <w:rPr>
                <w:rFonts w:cs="Arial"/>
                <w:sz w:val="18"/>
                <w:szCs w:val="18"/>
                <w:vertAlign w:val="superscript"/>
              </w:rPr>
              <w:t>2</w:t>
            </w:r>
            <w:r w:rsidRPr="00791CBE">
              <w:rPr>
                <w:rFonts w:cs="Arial"/>
                <w:sz w:val="18"/>
                <w:szCs w:val="18"/>
              </w:rPr>
              <w:t>muno) = 48% (wt:wt). DP of B-GOS (% of GOS content): DP=2 (52%); 3 (26%); 4 (14%); and, 5 (8%). Saccharide linkages of B-GOS (% of GOS content): β1→3 (26%); β1→4 (23%); and, β1→6 (51%).</w:t>
            </w:r>
          </w:p>
          <w:p w14:paraId="68325402" w14:textId="77777777" w:rsidR="009032A8" w:rsidRPr="0025124F" w:rsidRDefault="009032A8" w:rsidP="00725DB2">
            <w:pPr>
              <w:rPr>
                <w:rFonts w:cs="Arial"/>
                <w:sz w:val="18"/>
                <w:szCs w:val="18"/>
              </w:rPr>
            </w:pPr>
          </w:p>
          <w:p w14:paraId="6DCDBA00" w14:textId="77777777" w:rsidR="009032A8" w:rsidRPr="00E72D1C" w:rsidRDefault="009032A8" w:rsidP="00725DB2">
            <w:pPr>
              <w:rPr>
                <w:rFonts w:cs="Arial"/>
                <w:color w:val="FF0000"/>
                <w:sz w:val="18"/>
                <w:szCs w:val="18"/>
              </w:rPr>
            </w:pPr>
            <w:r w:rsidRPr="0025124F">
              <w:rPr>
                <w:sz w:val="18"/>
                <w:szCs w:val="18"/>
              </w:rPr>
              <w:t>Adherence to study protocol was measured but not reported.</w:t>
            </w:r>
          </w:p>
        </w:tc>
        <w:tc>
          <w:tcPr>
            <w:tcW w:w="2410" w:type="dxa"/>
          </w:tcPr>
          <w:p w14:paraId="15CF9494" w14:textId="77777777" w:rsidR="009032A8" w:rsidRPr="00EB30C0" w:rsidRDefault="009032A8" w:rsidP="00725DB2">
            <w:pPr>
              <w:rPr>
                <w:sz w:val="18"/>
                <w:szCs w:val="18"/>
              </w:rPr>
            </w:pPr>
            <w:r w:rsidRPr="00EB30C0">
              <w:rPr>
                <w:sz w:val="18"/>
                <w:szCs w:val="18"/>
              </w:rPr>
              <w:t>One author was an employee of Clasado Ltd (Milton Keynes, United Kingdom).</w:t>
            </w:r>
          </w:p>
          <w:p w14:paraId="0866E65E" w14:textId="77777777" w:rsidR="009032A8" w:rsidRPr="00EB30C0" w:rsidRDefault="009032A8" w:rsidP="00725DB2">
            <w:pPr>
              <w:rPr>
                <w:sz w:val="18"/>
                <w:szCs w:val="18"/>
              </w:rPr>
            </w:pPr>
          </w:p>
          <w:p w14:paraId="1AC716B9" w14:textId="77777777" w:rsidR="009032A8" w:rsidRDefault="009032A8" w:rsidP="00725DB2">
            <w:pPr>
              <w:rPr>
                <w:sz w:val="18"/>
                <w:szCs w:val="18"/>
              </w:rPr>
            </w:pPr>
            <w:r w:rsidRPr="00EB30C0">
              <w:rPr>
                <w:sz w:val="18"/>
                <w:szCs w:val="18"/>
              </w:rPr>
              <w:t>Research was supported by a grant from Clasado Ltd.</w:t>
            </w:r>
          </w:p>
          <w:p w14:paraId="7D7DE766" w14:textId="77777777" w:rsidR="009032A8" w:rsidRDefault="009032A8" w:rsidP="00725DB2">
            <w:pPr>
              <w:rPr>
                <w:sz w:val="18"/>
                <w:szCs w:val="18"/>
              </w:rPr>
            </w:pPr>
          </w:p>
          <w:p w14:paraId="3714BB33" w14:textId="2D775A93" w:rsidR="009032A8" w:rsidRPr="00EB30C0" w:rsidRDefault="009032A8" w:rsidP="00725DB2">
            <w:pPr>
              <w:rPr>
                <w:sz w:val="18"/>
                <w:szCs w:val="18"/>
              </w:rPr>
            </w:pPr>
            <w:r>
              <w:rPr>
                <w:sz w:val="18"/>
                <w:szCs w:val="18"/>
              </w:rPr>
              <w:t>Clasado Ltd supplied the GOS mixture.</w:t>
            </w:r>
          </w:p>
        </w:tc>
      </w:tr>
      <w:tr w:rsidR="009032A8" w:rsidRPr="00E72D1C" w14:paraId="4262EC62" w14:textId="77777777" w:rsidTr="00E21742">
        <w:trPr>
          <w:cantSplit/>
        </w:trPr>
        <w:tc>
          <w:tcPr>
            <w:tcW w:w="1413" w:type="dxa"/>
          </w:tcPr>
          <w:p w14:paraId="0FDD2FF9" w14:textId="257A4D46" w:rsidR="009032A8" w:rsidRPr="00791CBE" w:rsidRDefault="009032A8" w:rsidP="00725DB2">
            <w:pPr>
              <w:rPr>
                <w:sz w:val="18"/>
                <w:szCs w:val="18"/>
              </w:rPr>
            </w:pPr>
            <w:r w:rsidRPr="00791CBE">
              <w:rPr>
                <w:sz w:val="18"/>
                <w:szCs w:val="18"/>
              </w:rPr>
              <w:t>B</w:t>
            </w:r>
            <w:r w:rsidR="003A77A0">
              <w:rPr>
                <w:sz w:val="18"/>
                <w:szCs w:val="18"/>
              </w:rPr>
              <w:t>lood cholesterol, blood glucose</w:t>
            </w:r>
          </w:p>
        </w:tc>
        <w:tc>
          <w:tcPr>
            <w:tcW w:w="1134" w:type="dxa"/>
          </w:tcPr>
          <w:p w14:paraId="3386203A" w14:textId="77777777" w:rsidR="009032A8" w:rsidRPr="00791CBE" w:rsidRDefault="009032A8" w:rsidP="00725DB2">
            <w:pPr>
              <w:rPr>
                <w:sz w:val="18"/>
                <w:szCs w:val="18"/>
              </w:rPr>
            </w:pPr>
            <w:r w:rsidRPr="00791CBE">
              <w:rPr>
                <w:sz w:val="18"/>
                <w:szCs w:val="18"/>
              </w:rPr>
              <w:t>Vulevic (2013)</w:t>
            </w:r>
          </w:p>
        </w:tc>
        <w:tc>
          <w:tcPr>
            <w:tcW w:w="2551" w:type="dxa"/>
          </w:tcPr>
          <w:p w14:paraId="3B8F1076" w14:textId="77777777" w:rsidR="009032A8" w:rsidRPr="00791CBE" w:rsidRDefault="009032A8" w:rsidP="00725DB2">
            <w:pPr>
              <w:rPr>
                <w:rFonts w:cs="Arial"/>
                <w:sz w:val="18"/>
                <w:szCs w:val="18"/>
              </w:rPr>
            </w:pPr>
            <w:r w:rsidRPr="00791CBE">
              <w:rPr>
                <w:rFonts w:cs="Arial"/>
                <w:sz w:val="18"/>
                <w:szCs w:val="18"/>
              </w:rPr>
              <w:t>Refer to Vulevic (2008) except study periods were for 12 weeks (not 10).</w:t>
            </w:r>
          </w:p>
          <w:p w14:paraId="7A774BF7" w14:textId="77777777" w:rsidR="009032A8" w:rsidRPr="00791CBE" w:rsidRDefault="009032A8" w:rsidP="00725DB2">
            <w:pPr>
              <w:rPr>
                <w:rFonts w:cs="Arial"/>
                <w:sz w:val="18"/>
                <w:szCs w:val="18"/>
              </w:rPr>
            </w:pPr>
          </w:p>
          <w:p w14:paraId="05042C75" w14:textId="77777777" w:rsidR="009032A8" w:rsidRDefault="009032A8" w:rsidP="00725DB2">
            <w:pPr>
              <w:rPr>
                <w:rFonts w:cs="Arial"/>
                <w:sz w:val="18"/>
                <w:szCs w:val="18"/>
              </w:rPr>
            </w:pPr>
            <w:r w:rsidRPr="00791CBE">
              <w:rPr>
                <w:rFonts w:cs="Arial"/>
                <w:sz w:val="18"/>
                <w:szCs w:val="18"/>
              </w:rPr>
              <w:t>n=45</w:t>
            </w:r>
          </w:p>
          <w:p w14:paraId="087D890A" w14:textId="77777777" w:rsidR="009032A8" w:rsidRDefault="009032A8" w:rsidP="00725DB2">
            <w:pPr>
              <w:rPr>
                <w:rFonts w:cs="Arial"/>
                <w:sz w:val="18"/>
                <w:szCs w:val="18"/>
              </w:rPr>
            </w:pPr>
          </w:p>
          <w:p w14:paraId="4DAA3F69" w14:textId="0653A5D1" w:rsidR="009032A8" w:rsidRPr="00791CBE" w:rsidRDefault="009032A8" w:rsidP="00725DB2">
            <w:pPr>
              <w:rPr>
                <w:sz w:val="18"/>
                <w:szCs w:val="18"/>
              </w:rPr>
            </w:pPr>
            <w:r>
              <w:rPr>
                <w:sz w:val="18"/>
                <w:szCs w:val="18"/>
              </w:rPr>
              <w:t>Study location: United Kingdom.</w:t>
            </w:r>
          </w:p>
        </w:tc>
        <w:tc>
          <w:tcPr>
            <w:tcW w:w="2410" w:type="dxa"/>
          </w:tcPr>
          <w:p w14:paraId="174F8294" w14:textId="77777777" w:rsidR="009032A8" w:rsidRPr="00E72D1C" w:rsidRDefault="009032A8" w:rsidP="00725DB2">
            <w:pPr>
              <w:rPr>
                <w:color w:val="FF0000"/>
                <w:sz w:val="18"/>
                <w:szCs w:val="18"/>
              </w:rPr>
            </w:pPr>
            <w:r w:rsidRPr="00791CBE">
              <w:rPr>
                <w:rFonts w:cs="Arial"/>
                <w:sz w:val="18"/>
                <w:szCs w:val="18"/>
              </w:rPr>
              <w:t>Refer to Vulevic (2008)</w:t>
            </w:r>
          </w:p>
        </w:tc>
        <w:tc>
          <w:tcPr>
            <w:tcW w:w="4111" w:type="dxa"/>
          </w:tcPr>
          <w:p w14:paraId="60511CAA" w14:textId="77777777" w:rsidR="009032A8" w:rsidRPr="00E72D1C" w:rsidRDefault="009032A8" w:rsidP="00725DB2">
            <w:pPr>
              <w:rPr>
                <w:color w:val="FF0000"/>
                <w:sz w:val="18"/>
                <w:szCs w:val="18"/>
              </w:rPr>
            </w:pPr>
            <w:r w:rsidRPr="00791CBE">
              <w:rPr>
                <w:rFonts w:cs="Arial"/>
                <w:sz w:val="18"/>
                <w:szCs w:val="18"/>
              </w:rPr>
              <w:t>Refer to Vulevic (2008)</w:t>
            </w:r>
          </w:p>
        </w:tc>
        <w:tc>
          <w:tcPr>
            <w:tcW w:w="2410" w:type="dxa"/>
          </w:tcPr>
          <w:p w14:paraId="3F85B16D" w14:textId="1CC0E036" w:rsidR="009032A8" w:rsidRPr="00EB30C0" w:rsidRDefault="009032A8" w:rsidP="00FE7D4C">
            <w:pPr>
              <w:rPr>
                <w:sz w:val="18"/>
                <w:szCs w:val="18"/>
              </w:rPr>
            </w:pPr>
            <w:r>
              <w:rPr>
                <w:sz w:val="18"/>
                <w:szCs w:val="18"/>
              </w:rPr>
              <w:t>Two</w:t>
            </w:r>
            <w:r w:rsidRPr="00EB30C0">
              <w:rPr>
                <w:sz w:val="18"/>
                <w:szCs w:val="18"/>
              </w:rPr>
              <w:t xml:space="preserve"> author</w:t>
            </w:r>
            <w:r>
              <w:rPr>
                <w:sz w:val="18"/>
                <w:szCs w:val="18"/>
              </w:rPr>
              <w:t>s were</w:t>
            </w:r>
            <w:r w:rsidRPr="00EB30C0">
              <w:rPr>
                <w:sz w:val="18"/>
                <w:szCs w:val="18"/>
              </w:rPr>
              <w:t xml:space="preserve"> employee</w:t>
            </w:r>
            <w:r>
              <w:rPr>
                <w:sz w:val="18"/>
                <w:szCs w:val="18"/>
              </w:rPr>
              <w:t>s</w:t>
            </w:r>
            <w:r w:rsidRPr="00EB30C0">
              <w:rPr>
                <w:sz w:val="18"/>
                <w:szCs w:val="18"/>
              </w:rPr>
              <w:t xml:space="preserve"> of Clasado </w:t>
            </w:r>
            <w:r>
              <w:rPr>
                <w:sz w:val="18"/>
                <w:szCs w:val="18"/>
              </w:rPr>
              <w:t>Research Services Ltd. A third author was not an employee at the time of the study, but became an employee by the time of publication.</w:t>
            </w:r>
          </w:p>
          <w:p w14:paraId="06F46E47" w14:textId="77777777" w:rsidR="009032A8" w:rsidRPr="00EB30C0" w:rsidRDefault="009032A8" w:rsidP="00FE7D4C">
            <w:pPr>
              <w:rPr>
                <w:sz w:val="18"/>
                <w:szCs w:val="18"/>
              </w:rPr>
            </w:pPr>
          </w:p>
          <w:p w14:paraId="6A375ECD" w14:textId="77777777" w:rsidR="009032A8" w:rsidRDefault="009032A8" w:rsidP="00FE7D4C">
            <w:pPr>
              <w:rPr>
                <w:sz w:val="18"/>
                <w:szCs w:val="18"/>
              </w:rPr>
            </w:pPr>
            <w:r w:rsidRPr="00EB30C0">
              <w:rPr>
                <w:sz w:val="18"/>
                <w:szCs w:val="18"/>
              </w:rPr>
              <w:t>Research was supported by a grant from Clasado Ltd.</w:t>
            </w:r>
          </w:p>
          <w:p w14:paraId="693CC379" w14:textId="77777777" w:rsidR="009032A8" w:rsidRDefault="009032A8" w:rsidP="00FE7D4C">
            <w:pPr>
              <w:rPr>
                <w:sz w:val="18"/>
                <w:szCs w:val="18"/>
              </w:rPr>
            </w:pPr>
          </w:p>
          <w:p w14:paraId="397C4493" w14:textId="5B23F377" w:rsidR="009032A8" w:rsidRPr="00E72D1C" w:rsidRDefault="009032A8" w:rsidP="00FE7D4C">
            <w:pPr>
              <w:rPr>
                <w:color w:val="FF0000"/>
                <w:sz w:val="18"/>
                <w:szCs w:val="18"/>
              </w:rPr>
            </w:pPr>
            <w:r>
              <w:rPr>
                <w:sz w:val="18"/>
                <w:szCs w:val="18"/>
              </w:rPr>
              <w:t>Clasado Ltd supplied the GOS mixture.</w:t>
            </w:r>
          </w:p>
        </w:tc>
      </w:tr>
      <w:tr w:rsidR="009032A8" w:rsidRPr="00E72D1C" w14:paraId="011DED73" w14:textId="77777777" w:rsidTr="00E21742">
        <w:trPr>
          <w:cantSplit/>
        </w:trPr>
        <w:tc>
          <w:tcPr>
            <w:tcW w:w="1413" w:type="dxa"/>
          </w:tcPr>
          <w:p w14:paraId="68134656" w14:textId="1B011723" w:rsidR="009032A8" w:rsidRPr="00FE7D4C" w:rsidRDefault="009032A8" w:rsidP="00725DB2">
            <w:pPr>
              <w:rPr>
                <w:sz w:val="18"/>
                <w:szCs w:val="18"/>
              </w:rPr>
            </w:pPr>
            <w:r w:rsidRPr="00FE7D4C">
              <w:rPr>
                <w:sz w:val="18"/>
                <w:szCs w:val="18"/>
              </w:rPr>
              <w:t>B</w:t>
            </w:r>
            <w:r w:rsidR="003A77A0">
              <w:rPr>
                <w:sz w:val="18"/>
                <w:szCs w:val="18"/>
              </w:rPr>
              <w:t>lood cholesterol, blood glucose</w:t>
            </w:r>
          </w:p>
        </w:tc>
        <w:tc>
          <w:tcPr>
            <w:tcW w:w="1134" w:type="dxa"/>
          </w:tcPr>
          <w:p w14:paraId="467E502C" w14:textId="77777777" w:rsidR="009032A8" w:rsidRPr="00FE7D4C" w:rsidRDefault="009032A8" w:rsidP="00725DB2">
            <w:pPr>
              <w:rPr>
                <w:sz w:val="18"/>
                <w:szCs w:val="18"/>
              </w:rPr>
            </w:pPr>
            <w:r w:rsidRPr="00FE7D4C">
              <w:rPr>
                <w:sz w:val="18"/>
                <w:szCs w:val="18"/>
              </w:rPr>
              <w:t>Canfora (2017)</w:t>
            </w:r>
          </w:p>
        </w:tc>
        <w:tc>
          <w:tcPr>
            <w:tcW w:w="2551" w:type="dxa"/>
          </w:tcPr>
          <w:p w14:paraId="76D67648" w14:textId="77777777" w:rsidR="009032A8" w:rsidRPr="00FE7D4C" w:rsidRDefault="009032A8" w:rsidP="00725DB2">
            <w:pPr>
              <w:rPr>
                <w:sz w:val="18"/>
                <w:szCs w:val="18"/>
              </w:rPr>
            </w:pPr>
            <w:r w:rsidRPr="00FE7D4C">
              <w:rPr>
                <w:sz w:val="18"/>
                <w:szCs w:val="18"/>
              </w:rPr>
              <w:t>Parallel, controlled.</w:t>
            </w:r>
          </w:p>
          <w:p w14:paraId="1C84A13E" w14:textId="77777777" w:rsidR="009032A8" w:rsidRPr="00FE7D4C" w:rsidRDefault="009032A8" w:rsidP="00725DB2">
            <w:pPr>
              <w:rPr>
                <w:sz w:val="18"/>
                <w:szCs w:val="18"/>
              </w:rPr>
            </w:pPr>
          </w:p>
          <w:p w14:paraId="272A8F62" w14:textId="77777777" w:rsidR="009032A8" w:rsidRDefault="009032A8" w:rsidP="00725DB2">
            <w:pPr>
              <w:rPr>
                <w:sz w:val="18"/>
                <w:szCs w:val="18"/>
              </w:rPr>
            </w:pPr>
            <w:r>
              <w:rPr>
                <w:sz w:val="18"/>
                <w:szCs w:val="18"/>
              </w:rPr>
              <w:t>Randomised.</w:t>
            </w:r>
          </w:p>
          <w:p w14:paraId="26CB5D7F" w14:textId="77777777" w:rsidR="009032A8" w:rsidRPr="0091462E" w:rsidRDefault="009032A8" w:rsidP="00725DB2">
            <w:pPr>
              <w:rPr>
                <w:sz w:val="18"/>
                <w:szCs w:val="18"/>
              </w:rPr>
            </w:pPr>
          </w:p>
          <w:p w14:paraId="62CEA222" w14:textId="77777777" w:rsidR="009032A8" w:rsidRPr="0091462E" w:rsidRDefault="009032A8" w:rsidP="00725DB2">
            <w:pPr>
              <w:rPr>
                <w:sz w:val="18"/>
                <w:szCs w:val="18"/>
              </w:rPr>
            </w:pPr>
            <w:r w:rsidRPr="0091462E">
              <w:rPr>
                <w:sz w:val="18"/>
                <w:szCs w:val="18"/>
              </w:rPr>
              <w:t>Data represents n=44.</w:t>
            </w:r>
          </w:p>
          <w:p w14:paraId="2C2ED9C1" w14:textId="77777777" w:rsidR="009032A8" w:rsidRPr="0091462E" w:rsidRDefault="009032A8" w:rsidP="00725DB2">
            <w:pPr>
              <w:rPr>
                <w:sz w:val="18"/>
                <w:szCs w:val="18"/>
              </w:rPr>
            </w:pPr>
          </w:p>
          <w:p w14:paraId="1C648E11" w14:textId="77777777" w:rsidR="009032A8" w:rsidRPr="0091462E" w:rsidRDefault="009032A8" w:rsidP="00725DB2">
            <w:pPr>
              <w:rPr>
                <w:sz w:val="18"/>
                <w:szCs w:val="18"/>
              </w:rPr>
            </w:pPr>
            <w:r w:rsidRPr="0091462E">
              <w:rPr>
                <w:sz w:val="18"/>
                <w:szCs w:val="18"/>
              </w:rPr>
              <w:t>Two 12-week conditions: placebo or GOS.</w:t>
            </w:r>
          </w:p>
          <w:p w14:paraId="58AAEA8E" w14:textId="77777777" w:rsidR="009032A8" w:rsidRPr="0091462E" w:rsidRDefault="009032A8" w:rsidP="00725DB2">
            <w:pPr>
              <w:rPr>
                <w:rFonts w:cs="Arial"/>
                <w:sz w:val="18"/>
                <w:szCs w:val="18"/>
              </w:rPr>
            </w:pPr>
          </w:p>
          <w:p w14:paraId="1663E538" w14:textId="77777777" w:rsidR="009032A8" w:rsidRDefault="009032A8" w:rsidP="00725DB2">
            <w:pPr>
              <w:rPr>
                <w:sz w:val="18"/>
                <w:szCs w:val="18"/>
              </w:rPr>
            </w:pPr>
            <w:r w:rsidRPr="0091462E">
              <w:rPr>
                <w:rFonts w:cs="Arial"/>
                <w:sz w:val="18"/>
                <w:szCs w:val="18"/>
              </w:rPr>
              <w:t>Washout: n/a.</w:t>
            </w:r>
          </w:p>
          <w:p w14:paraId="782FA7F8" w14:textId="77777777" w:rsidR="009032A8" w:rsidRDefault="009032A8" w:rsidP="00725DB2">
            <w:pPr>
              <w:rPr>
                <w:sz w:val="18"/>
                <w:szCs w:val="18"/>
              </w:rPr>
            </w:pPr>
          </w:p>
          <w:p w14:paraId="2FF53542" w14:textId="317821B4" w:rsidR="009032A8" w:rsidRPr="00E72D1C" w:rsidRDefault="009032A8" w:rsidP="00725DB2">
            <w:pPr>
              <w:rPr>
                <w:color w:val="FF0000"/>
                <w:sz w:val="18"/>
                <w:szCs w:val="18"/>
              </w:rPr>
            </w:pPr>
            <w:r>
              <w:rPr>
                <w:sz w:val="18"/>
                <w:szCs w:val="18"/>
              </w:rPr>
              <w:t>Study location: The Netherlands.</w:t>
            </w:r>
          </w:p>
        </w:tc>
        <w:tc>
          <w:tcPr>
            <w:tcW w:w="2410" w:type="dxa"/>
          </w:tcPr>
          <w:p w14:paraId="6D08FF7D" w14:textId="77777777" w:rsidR="009032A8" w:rsidRPr="0091462E" w:rsidRDefault="009032A8" w:rsidP="00725DB2">
            <w:pPr>
              <w:rPr>
                <w:rFonts w:cs="Arial"/>
                <w:sz w:val="18"/>
                <w:szCs w:val="18"/>
              </w:rPr>
            </w:pPr>
            <w:r w:rsidRPr="0091462E">
              <w:rPr>
                <w:sz w:val="18"/>
                <w:szCs w:val="18"/>
              </w:rPr>
              <w:t>I: Vivinal (7.04 g) provided in powder form</w:t>
            </w:r>
            <w:r w:rsidRPr="0091462E">
              <w:rPr>
                <w:rFonts w:cs="Arial"/>
                <w:sz w:val="18"/>
                <w:szCs w:val="18"/>
              </w:rPr>
              <w:t xml:space="preserve"> providing 5 g GOS, consumed three times per day with meals (total 15 g GOS/day).</w:t>
            </w:r>
          </w:p>
          <w:p w14:paraId="0D3E4870" w14:textId="77777777" w:rsidR="009032A8" w:rsidRPr="00FD6A04" w:rsidRDefault="009032A8" w:rsidP="00725DB2">
            <w:pPr>
              <w:rPr>
                <w:rFonts w:cs="Arial"/>
                <w:sz w:val="18"/>
                <w:szCs w:val="18"/>
              </w:rPr>
            </w:pPr>
          </w:p>
          <w:p w14:paraId="296DA510" w14:textId="30BD14B6" w:rsidR="009032A8" w:rsidRPr="00B75C4D" w:rsidRDefault="009032A8" w:rsidP="00725DB2">
            <w:pPr>
              <w:rPr>
                <w:rFonts w:cs="Arial"/>
                <w:sz w:val="18"/>
                <w:szCs w:val="18"/>
              </w:rPr>
            </w:pPr>
            <w:r w:rsidRPr="00FD6A04">
              <w:rPr>
                <w:rFonts w:cs="Arial"/>
                <w:sz w:val="18"/>
                <w:szCs w:val="18"/>
              </w:rPr>
              <w:t>C: Maltodextrin (5.65 g; isocaloric to I dose i.e. 2</w:t>
            </w:r>
            <w:r>
              <w:rPr>
                <w:rFonts w:cs="Arial"/>
                <w:sz w:val="18"/>
                <w:szCs w:val="18"/>
              </w:rPr>
              <w:t>70</w:t>
            </w:r>
            <w:r w:rsidRPr="00FD6A04">
              <w:rPr>
                <w:rFonts w:cs="Arial"/>
                <w:sz w:val="18"/>
                <w:szCs w:val="18"/>
              </w:rPr>
              <w:t xml:space="preserve"> kJ/day</w:t>
            </w:r>
            <w:r w:rsidRPr="00FD6A04">
              <w:rPr>
                <w:sz w:val="18"/>
                <w:szCs w:val="18"/>
              </w:rPr>
              <w:t>) provided in powder form</w:t>
            </w:r>
            <w:r w:rsidRPr="00FD6A04">
              <w:rPr>
                <w:rFonts w:cs="Arial"/>
                <w:sz w:val="18"/>
                <w:szCs w:val="18"/>
              </w:rPr>
              <w:t>, consumed three times per day with meals.</w:t>
            </w:r>
          </w:p>
          <w:p w14:paraId="6E622F60" w14:textId="77777777" w:rsidR="009032A8" w:rsidRPr="00B75C4D" w:rsidRDefault="009032A8" w:rsidP="00725DB2">
            <w:pPr>
              <w:rPr>
                <w:rFonts w:cs="Arial"/>
                <w:sz w:val="18"/>
                <w:szCs w:val="18"/>
              </w:rPr>
            </w:pPr>
          </w:p>
          <w:p w14:paraId="3BC402EE" w14:textId="0840C8C3" w:rsidR="009032A8" w:rsidRPr="00E72D1C" w:rsidRDefault="009032A8" w:rsidP="009C6B56">
            <w:pPr>
              <w:rPr>
                <w:color w:val="FF0000"/>
                <w:sz w:val="18"/>
                <w:szCs w:val="18"/>
              </w:rPr>
            </w:pPr>
            <w:r w:rsidRPr="00B75C4D">
              <w:rPr>
                <w:rFonts w:cs="Arial"/>
                <w:sz w:val="18"/>
                <w:szCs w:val="18"/>
              </w:rPr>
              <w:t xml:space="preserve">I+C: </w:t>
            </w:r>
            <w:r w:rsidRPr="00B75C4D">
              <w:rPr>
                <w:sz w:val="18"/>
                <w:szCs w:val="18"/>
              </w:rPr>
              <w:t>participants instructed to consume powder (provided in sachets) with a 200 mL low-fat yoghurt drink. Yoghurt did not contain any probiotic strains or supplemented GOS.</w:t>
            </w:r>
          </w:p>
        </w:tc>
        <w:tc>
          <w:tcPr>
            <w:tcW w:w="4111" w:type="dxa"/>
          </w:tcPr>
          <w:p w14:paraId="69B13349" w14:textId="40E2247A" w:rsidR="009032A8" w:rsidRPr="00E72D1C" w:rsidRDefault="009032A8" w:rsidP="00725DB2">
            <w:pPr>
              <w:rPr>
                <w:color w:val="FF0000"/>
                <w:sz w:val="18"/>
                <w:szCs w:val="18"/>
              </w:rPr>
            </w:pPr>
            <w:r w:rsidRPr="0091462E">
              <w:rPr>
                <w:sz w:val="18"/>
                <w:szCs w:val="18"/>
              </w:rPr>
              <w:t>Vivinal (FrieslandCampina Domo, Amersfoort, The Netherlands</w:t>
            </w:r>
            <w:r w:rsidRPr="00B75C4D">
              <w:rPr>
                <w:sz w:val="18"/>
                <w:szCs w:val="18"/>
              </w:rPr>
              <w:t>) contains 69% GOS, 23% lactose, 5% monosaccharides (glucose and galactose), and 3% moisture.</w:t>
            </w:r>
          </w:p>
          <w:p w14:paraId="4E0954A8" w14:textId="77777777" w:rsidR="009032A8" w:rsidRPr="00E72D1C" w:rsidRDefault="009032A8" w:rsidP="00725DB2">
            <w:pPr>
              <w:rPr>
                <w:color w:val="FF0000"/>
                <w:sz w:val="18"/>
                <w:szCs w:val="18"/>
              </w:rPr>
            </w:pPr>
          </w:p>
          <w:p w14:paraId="0DD75710" w14:textId="7A5EEE40" w:rsidR="009032A8" w:rsidRPr="00B75C4D" w:rsidRDefault="009032A8" w:rsidP="00725DB2">
            <w:pPr>
              <w:rPr>
                <w:sz w:val="18"/>
                <w:szCs w:val="18"/>
              </w:rPr>
            </w:pPr>
            <w:r w:rsidRPr="00B75C4D">
              <w:rPr>
                <w:sz w:val="18"/>
                <w:szCs w:val="18"/>
              </w:rPr>
              <w:t>Adherence to powder intake via diary and return of sachets: 98% (98% of sachets were empty on return).</w:t>
            </w:r>
          </w:p>
        </w:tc>
        <w:tc>
          <w:tcPr>
            <w:tcW w:w="2410" w:type="dxa"/>
          </w:tcPr>
          <w:p w14:paraId="7AB4D396" w14:textId="3C53D8A8" w:rsidR="009032A8" w:rsidRPr="00E72D1C" w:rsidRDefault="009032A8" w:rsidP="00725DB2">
            <w:pPr>
              <w:rPr>
                <w:color w:val="FF0000"/>
                <w:sz w:val="18"/>
                <w:szCs w:val="18"/>
              </w:rPr>
            </w:pPr>
            <w:r w:rsidRPr="009C6B56">
              <w:rPr>
                <w:sz w:val="18"/>
                <w:szCs w:val="18"/>
              </w:rPr>
              <w:t>One author was affiliated with the Beneficial Microbes Consultancy (Wageningen, The Netherlands).</w:t>
            </w:r>
          </w:p>
        </w:tc>
      </w:tr>
      <w:tr w:rsidR="009032A8" w:rsidRPr="00E72D1C" w14:paraId="2C6F8EE5" w14:textId="77777777" w:rsidTr="00E21742">
        <w:trPr>
          <w:cantSplit/>
        </w:trPr>
        <w:tc>
          <w:tcPr>
            <w:tcW w:w="1413" w:type="dxa"/>
          </w:tcPr>
          <w:p w14:paraId="742AF7B1" w14:textId="77777777" w:rsidR="009032A8" w:rsidRPr="009C6B56" w:rsidRDefault="009032A8" w:rsidP="00725DB2">
            <w:pPr>
              <w:rPr>
                <w:sz w:val="18"/>
                <w:szCs w:val="18"/>
              </w:rPr>
            </w:pPr>
            <w:r w:rsidRPr="009C6B56">
              <w:rPr>
                <w:sz w:val="18"/>
                <w:szCs w:val="18"/>
              </w:rPr>
              <w:t>Blood cholesterol, blood glucose</w:t>
            </w:r>
          </w:p>
        </w:tc>
        <w:tc>
          <w:tcPr>
            <w:tcW w:w="1134" w:type="dxa"/>
          </w:tcPr>
          <w:p w14:paraId="2F6D33DE" w14:textId="77777777" w:rsidR="009032A8" w:rsidRPr="009C6B56" w:rsidRDefault="009032A8" w:rsidP="00725DB2">
            <w:pPr>
              <w:rPr>
                <w:sz w:val="18"/>
                <w:szCs w:val="18"/>
              </w:rPr>
            </w:pPr>
            <w:r w:rsidRPr="009C6B56">
              <w:rPr>
                <w:sz w:val="18"/>
                <w:szCs w:val="18"/>
              </w:rPr>
              <w:t>Pedersen (2016)</w:t>
            </w:r>
          </w:p>
          <w:p w14:paraId="0B6BA6B1" w14:textId="77777777" w:rsidR="009032A8" w:rsidRPr="009C6B56" w:rsidRDefault="009032A8" w:rsidP="00725DB2">
            <w:pPr>
              <w:rPr>
                <w:sz w:val="18"/>
                <w:szCs w:val="18"/>
              </w:rPr>
            </w:pPr>
          </w:p>
          <w:p w14:paraId="3BE67C03" w14:textId="77777777" w:rsidR="009032A8" w:rsidRPr="009C6B56" w:rsidRDefault="009032A8" w:rsidP="00725DB2">
            <w:pPr>
              <w:rPr>
                <w:sz w:val="18"/>
                <w:szCs w:val="18"/>
              </w:rPr>
            </w:pPr>
          </w:p>
        </w:tc>
        <w:tc>
          <w:tcPr>
            <w:tcW w:w="2551" w:type="dxa"/>
          </w:tcPr>
          <w:p w14:paraId="14306346" w14:textId="35265A59" w:rsidR="009032A8" w:rsidRPr="009C6B56" w:rsidRDefault="009032A8" w:rsidP="00725DB2">
            <w:pPr>
              <w:rPr>
                <w:sz w:val="18"/>
                <w:szCs w:val="18"/>
              </w:rPr>
            </w:pPr>
            <w:r w:rsidRPr="009C6B56">
              <w:rPr>
                <w:sz w:val="18"/>
                <w:szCs w:val="18"/>
              </w:rPr>
              <w:t>Parallel,</w:t>
            </w:r>
            <w:r w:rsidRPr="009C6B56">
              <w:rPr>
                <w:rFonts w:cs="Arial"/>
                <w:sz w:val="18"/>
                <w:szCs w:val="18"/>
              </w:rPr>
              <w:t xml:space="preserve"> </w:t>
            </w:r>
            <w:r w:rsidRPr="009C6B56">
              <w:rPr>
                <w:sz w:val="18"/>
                <w:szCs w:val="18"/>
              </w:rPr>
              <w:t>controlled</w:t>
            </w:r>
            <w:r w:rsidRPr="009C6B56">
              <w:rPr>
                <w:rFonts w:cs="Arial"/>
                <w:sz w:val="18"/>
                <w:szCs w:val="18"/>
              </w:rPr>
              <w:t xml:space="preserve"> study</w:t>
            </w:r>
            <w:r w:rsidRPr="009C6B56">
              <w:rPr>
                <w:sz w:val="18"/>
                <w:szCs w:val="18"/>
              </w:rPr>
              <w:t>.</w:t>
            </w:r>
          </w:p>
          <w:p w14:paraId="1F5D224A" w14:textId="77777777" w:rsidR="009032A8" w:rsidRPr="009C6B56" w:rsidRDefault="009032A8" w:rsidP="00725DB2">
            <w:pPr>
              <w:rPr>
                <w:sz w:val="18"/>
                <w:szCs w:val="18"/>
              </w:rPr>
            </w:pPr>
          </w:p>
          <w:p w14:paraId="52F92AA7" w14:textId="77777777" w:rsidR="009032A8" w:rsidRDefault="009032A8" w:rsidP="00725DB2">
            <w:pPr>
              <w:rPr>
                <w:sz w:val="18"/>
                <w:szCs w:val="18"/>
              </w:rPr>
            </w:pPr>
            <w:r w:rsidRPr="009C6B56">
              <w:rPr>
                <w:sz w:val="18"/>
                <w:szCs w:val="18"/>
              </w:rPr>
              <w:t>Randomised</w:t>
            </w:r>
            <w:r>
              <w:rPr>
                <w:sz w:val="18"/>
                <w:szCs w:val="18"/>
              </w:rPr>
              <w:t>.</w:t>
            </w:r>
          </w:p>
          <w:p w14:paraId="3BE6243B" w14:textId="77777777" w:rsidR="009032A8" w:rsidRPr="00E00305" w:rsidRDefault="009032A8" w:rsidP="00725DB2">
            <w:pPr>
              <w:rPr>
                <w:sz w:val="18"/>
                <w:szCs w:val="18"/>
              </w:rPr>
            </w:pPr>
          </w:p>
          <w:p w14:paraId="0708C3ED" w14:textId="77777777" w:rsidR="009032A8" w:rsidRPr="00E00305" w:rsidRDefault="009032A8" w:rsidP="00725DB2">
            <w:pPr>
              <w:rPr>
                <w:sz w:val="18"/>
                <w:szCs w:val="18"/>
              </w:rPr>
            </w:pPr>
            <w:r w:rsidRPr="00E00305">
              <w:rPr>
                <w:sz w:val="18"/>
                <w:szCs w:val="18"/>
              </w:rPr>
              <w:t>Data represents n=29.</w:t>
            </w:r>
          </w:p>
          <w:p w14:paraId="7651226D" w14:textId="77777777" w:rsidR="009032A8" w:rsidRPr="00E00305" w:rsidRDefault="009032A8" w:rsidP="00725DB2">
            <w:pPr>
              <w:rPr>
                <w:sz w:val="18"/>
                <w:szCs w:val="18"/>
              </w:rPr>
            </w:pPr>
          </w:p>
          <w:p w14:paraId="21A2ACCE" w14:textId="77777777" w:rsidR="009032A8" w:rsidRPr="00E00305" w:rsidRDefault="009032A8" w:rsidP="00725DB2">
            <w:pPr>
              <w:rPr>
                <w:sz w:val="18"/>
                <w:szCs w:val="18"/>
              </w:rPr>
            </w:pPr>
            <w:r w:rsidRPr="00E00305">
              <w:rPr>
                <w:sz w:val="18"/>
                <w:szCs w:val="18"/>
              </w:rPr>
              <w:t>Two 12-week conditions: placebo or GOS.</w:t>
            </w:r>
          </w:p>
          <w:p w14:paraId="78CC2264" w14:textId="77777777" w:rsidR="009032A8" w:rsidRPr="00E00305" w:rsidRDefault="009032A8" w:rsidP="00725DB2">
            <w:pPr>
              <w:rPr>
                <w:sz w:val="18"/>
                <w:szCs w:val="18"/>
              </w:rPr>
            </w:pPr>
          </w:p>
          <w:p w14:paraId="75DFE33E" w14:textId="77777777" w:rsidR="009032A8" w:rsidRPr="00BB189A" w:rsidRDefault="009032A8" w:rsidP="00725DB2">
            <w:pPr>
              <w:rPr>
                <w:sz w:val="18"/>
                <w:szCs w:val="18"/>
              </w:rPr>
            </w:pPr>
            <w:r w:rsidRPr="00E00305">
              <w:rPr>
                <w:sz w:val="18"/>
                <w:szCs w:val="18"/>
              </w:rPr>
              <w:t>Washout: n/a.</w:t>
            </w:r>
          </w:p>
          <w:p w14:paraId="00DD40D5" w14:textId="77777777" w:rsidR="009032A8" w:rsidRPr="00BB189A" w:rsidRDefault="009032A8" w:rsidP="00725DB2">
            <w:pPr>
              <w:rPr>
                <w:sz w:val="18"/>
                <w:szCs w:val="18"/>
              </w:rPr>
            </w:pPr>
          </w:p>
          <w:p w14:paraId="4A504213" w14:textId="62B632AD" w:rsidR="009032A8" w:rsidRPr="00E72D1C" w:rsidRDefault="009032A8" w:rsidP="00725DB2">
            <w:pPr>
              <w:rPr>
                <w:color w:val="FF0000"/>
                <w:sz w:val="18"/>
                <w:szCs w:val="18"/>
                <w:highlight w:val="yellow"/>
              </w:rPr>
            </w:pPr>
            <w:r w:rsidRPr="00BB189A">
              <w:rPr>
                <w:sz w:val="18"/>
                <w:szCs w:val="18"/>
              </w:rPr>
              <w:t>Study location: United Kingdom.</w:t>
            </w:r>
          </w:p>
        </w:tc>
        <w:tc>
          <w:tcPr>
            <w:tcW w:w="2410" w:type="dxa"/>
          </w:tcPr>
          <w:p w14:paraId="0403B48A" w14:textId="77777777" w:rsidR="009032A8" w:rsidRPr="00E72D1C" w:rsidRDefault="009032A8" w:rsidP="00725DB2">
            <w:pPr>
              <w:rPr>
                <w:color w:val="FF0000"/>
                <w:sz w:val="18"/>
                <w:szCs w:val="18"/>
              </w:rPr>
            </w:pPr>
            <w:r w:rsidRPr="008A47F7">
              <w:rPr>
                <w:rFonts w:cs="Arial"/>
                <w:sz w:val="18"/>
                <w:szCs w:val="18"/>
              </w:rPr>
              <w:t xml:space="preserve">Refer to Vulevic (2008), however, for </w:t>
            </w:r>
            <w:r w:rsidRPr="008A47F7">
              <w:rPr>
                <w:sz w:val="18"/>
                <w:szCs w:val="18"/>
              </w:rPr>
              <w:t>I+C, unlike Vulevic (2008), the instructions provided to participants for consumption are unclear but authors state the powders “were readily mixed into beverages or food”.</w:t>
            </w:r>
          </w:p>
        </w:tc>
        <w:tc>
          <w:tcPr>
            <w:tcW w:w="4111" w:type="dxa"/>
          </w:tcPr>
          <w:p w14:paraId="1D31B93F" w14:textId="77777777" w:rsidR="009032A8" w:rsidRPr="00E00305" w:rsidRDefault="009032A8" w:rsidP="00725DB2">
            <w:pPr>
              <w:rPr>
                <w:rFonts w:cs="Arial"/>
                <w:sz w:val="18"/>
                <w:szCs w:val="18"/>
              </w:rPr>
            </w:pPr>
            <w:r w:rsidRPr="00E00305">
              <w:rPr>
                <w:rFonts w:cs="Arial"/>
                <w:sz w:val="18"/>
                <w:szCs w:val="18"/>
              </w:rPr>
              <w:t>Refer to Vulevic (2008).</w:t>
            </w:r>
          </w:p>
          <w:p w14:paraId="179C78AF" w14:textId="77777777" w:rsidR="009032A8" w:rsidRPr="00E00305" w:rsidRDefault="009032A8" w:rsidP="00725DB2">
            <w:pPr>
              <w:rPr>
                <w:rFonts w:cs="Arial"/>
                <w:sz w:val="18"/>
                <w:szCs w:val="18"/>
              </w:rPr>
            </w:pPr>
          </w:p>
          <w:p w14:paraId="68CEA066" w14:textId="77777777" w:rsidR="009032A8" w:rsidRPr="00E72D1C" w:rsidRDefault="009032A8" w:rsidP="00725DB2">
            <w:pPr>
              <w:rPr>
                <w:color w:val="FF0000"/>
                <w:sz w:val="18"/>
                <w:szCs w:val="18"/>
              </w:rPr>
            </w:pPr>
            <w:r w:rsidRPr="00E00305">
              <w:rPr>
                <w:sz w:val="18"/>
                <w:szCs w:val="18"/>
              </w:rPr>
              <w:t>Adherence to powder intake via return of sachets: 96%.</w:t>
            </w:r>
          </w:p>
        </w:tc>
        <w:tc>
          <w:tcPr>
            <w:tcW w:w="2410" w:type="dxa"/>
          </w:tcPr>
          <w:p w14:paraId="1BEA3AFF" w14:textId="2DC6354F" w:rsidR="009032A8" w:rsidRPr="00E72D1C" w:rsidRDefault="009032A8" w:rsidP="00725DB2">
            <w:pPr>
              <w:rPr>
                <w:color w:val="FF0000"/>
                <w:sz w:val="18"/>
                <w:szCs w:val="18"/>
              </w:rPr>
            </w:pPr>
            <w:r w:rsidRPr="009C6B56">
              <w:rPr>
                <w:sz w:val="18"/>
                <w:szCs w:val="18"/>
              </w:rPr>
              <w:t>Authors acknowledge Clasado Ltd for providing the supplements.</w:t>
            </w:r>
          </w:p>
        </w:tc>
      </w:tr>
    </w:tbl>
    <w:p w14:paraId="4EC9A768" w14:textId="676AA2F2" w:rsidR="000E7B99" w:rsidRPr="00E72D1C" w:rsidRDefault="000E7B99" w:rsidP="000E7B99">
      <w:pPr>
        <w:rPr>
          <w:rFonts w:cs="Arial"/>
          <w:color w:val="FF0000"/>
          <w:sz w:val="18"/>
          <w:szCs w:val="18"/>
          <w:vertAlign w:val="superscript"/>
        </w:rPr>
      </w:pPr>
      <w:r w:rsidRPr="00835E52">
        <w:rPr>
          <w:sz w:val="18"/>
          <w:szCs w:val="18"/>
        </w:rPr>
        <w:t xml:space="preserve">I, intervention; C, comparator; GOS, </w:t>
      </w:r>
      <w:r w:rsidRPr="00835E52">
        <w:rPr>
          <w:rFonts w:cs="Arial"/>
          <w:sz w:val="18"/>
          <w:szCs w:val="18"/>
        </w:rPr>
        <w:t>galacto-oligosaccharide</w:t>
      </w:r>
      <w:r w:rsidR="00323116">
        <w:rPr>
          <w:sz w:val="18"/>
          <w:szCs w:val="18"/>
        </w:rPr>
        <w:t xml:space="preserve">; </w:t>
      </w:r>
      <w:r w:rsidRPr="00835E52">
        <w:rPr>
          <w:sz w:val="18"/>
          <w:szCs w:val="18"/>
        </w:rPr>
        <w:t xml:space="preserve">FOS, fructo-oligosaccharide; NDO, </w:t>
      </w:r>
      <w:r w:rsidRPr="00835E52">
        <w:rPr>
          <w:rFonts w:cs="Arial"/>
          <w:sz w:val="18"/>
          <w:szCs w:val="18"/>
        </w:rPr>
        <w:t>non-digestible oligosaccharide;</w:t>
      </w:r>
      <w:r w:rsidRPr="00835E52">
        <w:rPr>
          <w:sz w:val="18"/>
          <w:szCs w:val="18"/>
        </w:rPr>
        <w:t xml:space="preserve"> g, gram; d, day; </w:t>
      </w:r>
      <w:r w:rsidRPr="00835E52">
        <w:rPr>
          <w:rFonts w:cs="Arial"/>
          <w:sz w:val="18"/>
          <w:szCs w:val="18"/>
        </w:rPr>
        <w:t>n/a, not applicabl</w:t>
      </w:r>
      <w:r w:rsidR="00CD6127">
        <w:rPr>
          <w:rFonts w:cs="Arial"/>
          <w:sz w:val="18"/>
          <w:szCs w:val="18"/>
        </w:rPr>
        <w:t>e; and, DP, degree of polymerisatio</w:t>
      </w:r>
      <w:r w:rsidR="00CD6127" w:rsidRPr="00CD6127">
        <w:rPr>
          <w:rFonts w:cs="Arial"/>
          <w:sz w:val="18"/>
          <w:szCs w:val="18"/>
        </w:rPr>
        <w:t>n</w:t>
      </w:r>
      <w:r w:rsidRPr="00CD6127">
        <w:rPr>
          <w:rFonts w:cs="Arial"/>
          <w:sz w:val="18"/>
          <w:szCs w:val="18"/>
        </w:rPr>
        <w:t>.</w:t>
      </w:r>
    </w:p>
    <w:p w14:paraId="4E0EF4D4" w14:textId="75E3D9E4" w:rsidR="00A87772" w:rsidRPr="00A87772" w:rsidRDefault="00A87772">
      <w:pPr>
        <w:widowControl/>
        <w:rPr>
          <w:rFonts w:cs="Arial"/>
          <w:sz w:val="18"/>
          <w:szCs w:val="18"/>
        </w:rPr>
      </w:pPr>
      <w:r w:rsidRPr="00A87772">
        <w:rPr>
          <w:rFonts w:cs="Arial"/>
          <w:sz w:val="18"/>
          <w:szCs w:val="18"/>
          <w:vertAlign w:val="superscript"/>
        </w:rPr>
        <w:t>1</w:t>
      </w:r>
      <w:r w:rsidRPr="00A87772">
        <w:rPr>
          <w:rFonts w:cs="Arial"/>
          <w:sz w:val="18"/>
          <w:szCs w:val="18"/>
        </w:rPr>
        <w:t xml:space="preserve"> Excludes four</w:t>
      </w:r>
      <w:r w:rsidR="00072171">
        <w:rPr>
          <w:rFonts w:cs="Arial"/>
          <w:sz w:val="18"/>
          <w:szCs w:val="18"/>
        </w:rPr>
        <w:t xml:space="preserve"> (</w:t>
      </w:r>
      <w:r w:rsidR="00072171" w:rsidRPr="00A87772">
        <w:rPr>
          <w:rFonts w:cs="Arial"/>
          <w:sz w:val="18"/>
          <w:szCs w:val="18"/>
        </w:rPr>
        <w:t>Davis et al. 2010, Piirainen et al. 2008, Whisner et al. 2013, and Teuri &amp; Korpela 1998</w:t>
      </w:r>
      <w:r w:rsidR="00072171">
        <w:rPr>
          <w:rFonts w:cs="Arial"/>
          <w:sz w:val="18"/>
          <w:szCs w:val="18"/>
        </w:rPr>
        <w:t>)</w:t>
      </w:r>
      <w:r w:rsidRPr="00A87772">
        <w:rPr>
          <w:rFonts w:cs="Arial"/>
          <w:sz w:val="18"/>
          <w:szCs w:val="18"/>
        </w:rPr>
        <w:t xml:space="preserve"> </w:t>
      </w:r>
      <w:r w:rsidR="00072171">
        <w:rPr>
          <w:rFonts w:cs="Arial"/>
          <w:sz w:val="18"/>
          <w:szCs w:val="18"/>
        </w:rPr>
        <w:t>out of seven studies which report</w:t>
      </w:r>
      <w:r w:rsidRPr="00A87772">
        <w:rPr>
          <w:rFonts w:cs="Arial"/>
          <w:sz w:val="18"/>
          <w:szCs w:val="18"/>
        </w:rPr>
        <w:t xml:space="preserve"> results only for bowel movement or stool frequency</w:t>
      </w:r>
      <w:r w:rsidR="00072171">
        <w:rPr>
          <w:rFonts w:cs="Arial"/>
          <w:sz w:val="18"/>
          <w:szCs w:val="18"/>
        </w:rPr>
        <w:t>.</w:t>
      </w:r>
      <w:r>
        <w:rPr>
          <w:rFonts w:cs="Arial"/>
          <w:sz w:val="18"/>
          <w:szCs w:val="18"/>
        </w:rPr>
        <w:t xml:space="preserve"> </w:t>
      </w:r>
      <w:r w:rsidRPr="00A87772">
        <w:rPr>
          <w:rFonts w:cs="Arial"/>
          <w:sz w:val="18"/>
          <w:szCs w:val="18"/>
        </w:rPr>
        <w:t xml:space="preserve">These studies did not undergo rigorous appraisal or form the basis for conclusions regarding a laxative effect (see Sections </w:t>
      </w:r>
      <w:r w:rsidRPr="00A87772">
        <w:rPr>
          <w:rFonts w:cs="Arial"/>
          <w:sz w:val="18"/>
          <w:szCs w:val="18"/>
        </w:rPr>
        <w:lastRenderedPageBreak/>
        <w:t>1.2.2 and 2.2.1).</w:t>
      </w:r>
      <w:r w:rsidR="00072171">
        <w:rPr>
          <w:rFonts w:cs="Arial"/>
          <w:sz w:val="18"/>
          <w:szCs w:val="18"/>
        </w:rPr>
        <w:t xml:space="preserve"> The remaining three from seven studies reported outcomes included in the meta-analyses or narrative review.</w:t>
      </w:r>
    </w:p>
    <w:p w14:paraId="439C3957" w14:textId="7E439E0A" w:rsidR="009C29C1" w:rsidRPr="0073104D" w:rsidRDefault="009C29C1" w:rsidP="0073104D">
      <w:pPr>
        <w:widowControl/>
        <w:rPr>
          <w:color w:val="FF0000"/>
        </w:rPr>
      </w:pPr>
    </w:p>
    <w:p w14:paraId="17A5CB31" w14:textId="77777777" w:rsidR="0073104D" w:rsidRPr="00A87772" w:rsidRDefault="0073104D" w:rsidP="0073104D">
      <w:pPr>
        <w:widowControl/>
        <w:rPr>
          <w:b/>
          <w:bCs/>
          <w:sz w:val="28"/>
          <w:szCs w:val="22"/>
        </w:rPr>
      </w:pPr>
    </w:p>
    <w:p w14:paraId="71EC56C2" w14:textId="3F2E3DA8" w:rsidR="00CC5A0C" w:rsidRDefault="00CC5A0C" w:rsidP="0073104D">
      <w:pPr>
        <w:pStyle w:val="Heading2"/>
        <w:sectPr w:rsidR="00CC5A0C" w:rsidSect="00821742">
          <w:pgSz w:w="16838" w:h="11906" w:orient="landscape"/>
          <w:pgMar w:top="1418" w:right="1418" w:bottom="1418" w:left="1418" w:header="709" w:footer="709" w:gutter="0"/>
          <w:cols w:space="708"/>
          <w:docGrid w:linePitch="360"/>
        </w:sectPr>
      </w:pPr>
    </w:p>
    <w:p w14:paraId="639A6BD7" w14:textId="4F894326" w:rsidR="003D7003" w:rsidRDefault="003D7003" w:rsidP="0073104D">
      <w:pPr>
        <w:pStyle w:val="Heading2"/>
      </w:pPr>
      <w:bookmarkStart w:id="41" w:name="_Toc64561472"/>
      <w:bookmarkStart w:id="42" w:name="_Toc66868374"/>
      <w:r w:rsidRPr="00F66CF3">
        <w:lastRenderedPageBreak/>
        <w:t>2.6 Review: data extraction, conversion, and analyses</w:t>
      </w:r>
      <w:bookmarkEnd w:id="41"/>
      <w:bookmarkEnd w:id="42"/>
    </w:p>
    <w:p w14:paraId="25A3DAFB" w14:textId="77777777" w:rsidR="003208A4" w:rsidRDefault="003208A4" w:rsidP="003208A4">
      <w:pPr>
        <w:rPr>
          <w:rFonts w:cs="Arial"/>
          <w:i/>
          <w:szCs w:val="22"/>
        </w:rPr>
      </w:pPr>
      <w:r>
        <w:rPr>
          <w:rFonts w:cs="Arial"/>
          <w:i/>
          <w:szCs w:val="22"/>
        </w:rPr>
        <w:t>Data extraction</w:t>
      </w:r>
    </w:p>
    <w:p w14:paraId="1A148EE0" w14:textId="1BB434DC" w:rsidR="003208A4" w:rsidRPr="00D43803" w:rsidRDefault="003208A4" w:rsidP="003208A4">
      <w:pPr>
        <w:rPr>
          <w:lang w:bidi="ar-SA"/>
        </w:rPr>
      </w:pPr>
      <w:r>
        <w:rPr>
          <w:rFonts w:cs="Arial"/>
          <w:szCs w:val="22"/>
        </w:rPr>
        <w:t xml:space="preserve">Study characteristics and data were extracted by one assessor. </w:t>
      </w:r>
      <w:r>
        <w:rPr>
          <w:lang w:eastAsia="en-AU"/>
        </w:rPr>
        <w:t xml:space="preserve">If data were present only in graphs, the relevant statistics were extracted using the online program </w:t>
      </w:r>
      <w:hyperlink r:id="rId29" w:history="1">
        <w:r w:rsidRPr="00AD5603">
          <w:rPr>
            <w:rStyle w:val="Hyperlink"/>
            <w:lang w:eastAsia="en-AU"/>
          </w:rPr>
          <w:t>WebPlotDigitizer</w:t>
        </w:r>
      </w:hyperlink>
      <w:r w:rsidR="00BB6693">
        <w:rPr>
          <w:lang w:eastAsia="en-AU"/>
        </w:rPr>
        <w:t xml:space="preserve"> Version 3.12.</w:t>
      </w:r>
    </w:p>
    <w:p w14:paraId="21B9E9FD" w14:textId="58B1AAB2" w:rsidR="003208A4" w:rsidRDefault="003208A4" w:rsidP="003208A4">
      <w:pPr>
        <w:rPr>
          <w:lang w:bidi="ar-SA"/>
        </w:rPr>
      </w:pPr>
    </w:p>
    <w:p w14:paraId="32EE55FE" w14:textId="77777777" w:rsidR="0004542E" w:rsidRDefault="0004542E" w:rsidP="003208A4">
      <w:pPr>
        <w:rPr>
          <w:lang w:bidi="ar-SA"/>
        </w:rPr>
      </w:pPr>
    </w:p>
    <w:p w14:paraId="745254BE" w14:textId="77777777" w:rsidR="003208A4" w:rsidRDefault="003208A4" w:rsidP="003208A4">
      <w:pPr>
        <w:rPr>
          <w:lang w:bidi="ar-SA"/>
        </w:rPr>
      </w:pPr>
      <w:r>
        <w:rPr>
          <w:i/>
          <w:lang w:bidi="ar-SA"/>
        </w:rPr>
        <w:t>Data conversion</w:t>
      </w:r>
    </w:p>
    <w:p w14:paraId="1589E1F4" w14:textId="5279D1CE" w:rsidR="003208A4" w:rsidRDefault="003208A4" w:rsidP="003208A4">
      <w:pPr>
        <w:rPr>
          <w:lang w:bidi="ar-SA"/>
        </w:rPr>
      </w:pPr>
      <w:r>
        <w:rPr>
          <w:lang w:bidi="ar-SA"/>
        </w:rPr>
        <w:t xml:space="preserve">Case-by-case conversion of data for standardisation is explained in the footnotes to Tables </w:t>
      </w:r>
      <w:r w:rsidR="00A65AE0">
        <w:rPr>
          <w:lang w:bidi="ar-SA"/>
        </w:rPr>
        <w:t xml:space="preserve">2, </w:t>
      </w:r>
      <w:r>
        <w:rPr>
          <w:lang w:bidi="ar-SA"/>
        </w:rPr>
        <w:t xml:space="preserve">3, and </w:t>
      </w:r>
      <w:r w:rsidR="00A65AE0">
        <w:rPr>
          <w:lang w:bidi="ar-SA"/>
        </w:rPr>
        <w:t>4</w:t>
      </w:r>
      <w:r>
        <w:rPr>
          <w:lang w:bidi="ar-SA"/>
        </w:rPr>
        <w:t>. The raw mean differences (</w:t>
      </w:r>
      <w:r w:rsidRPr="0018747E">
        <w:rPr>
          <w:i/>
          <w:lang w:bidi="ar-SA"/>
        </w:rPr>
        <w:t>D</w:t>
      </w:r>
      <w:r>
        <w:rPr>
          <w:lang w:bidi="ar-SA"/>
        </w:rPr>
        <w:t xml:space="preserve">) </w:t>
      </w:r>
      <w:r w:rsidRPr="0018747E">
        <w:rPr>
          <w:lang w:bidi="ar-SA"/>
        </w:rPr>
        <w:t>and</w:t>
      </w:r>
      <w:r>
        <w:rPr>
          <w:lang w:bidi="ar-SA"/>
        </w:rPr>
        <w:t xml:space="preserve"> their standard errors (</w:t>
      </w:r>
      <w:r w:rsidRPr="00855F71">
        <w:rPr>
          <w:i/>
          <w:lang w:bidi="ar-SA"/>
        </w:rPr>
        <w:t>SE</w:t>
      </w:r>
      <w:r>
        <w:rPr>
          <w:i/>
          <w:vertAlign w:val="subscript"/>
          <w:lang w:bidi="ar-SA"/>
        </w:rPr>
        <w:t>D</w:t>
      </w:r>
      <w:r>
        <w:rPr>
          <w:lang w:bidi="ar-SA"/>
        </w:rPr>
        <w:t>) were calculated in Microsoft® Excel® 2016 using the following formulae.</w:t>
      </w:r>
    </w:p>
    <w:p w14:paraId="65AE1AE4" w14:textId="77777777" w:rsidR="003208A4" w:rsidRDefault="003208A4" w:rsidP="003208A4">
      <w:pPr>
        <w:rPr>
          <w:lang w:bidi="ar-SA"/>
        </w:rPr>
      </w:pPr>
    </w:p>
    <w:p w14:paraId="634A8115" w14:textId="4B0EB9BE" w:rsidR="003208A4" w:rsidRDefault="003208A4" w:rsidP="003208A4">
      <w:pPr>
        <w:rPr>
          <w:b/>
          <w:lang w:bidi="ar-SA"/>
        </w:rPr>
      </w:pPr>
      <w:r w:rsidRPr="00040652">
        <w:rPr>
          <w:b/>
          <w:lang w:bidi="ar-SA"/>
        </w:rPr>
        <w:t xml:space="preserve">Table </w:t>
      </w:r>
      <w:r w:rsidR="004C293F">
        <w:rPr>
          <w:b/>
          <w:lang w:bidi="ar-SA"/>
        </w:rPr>
        <w:t>8</w:t>
      </w:r>
      <w:r>
        <w:rPr>
          <w:b/>
          <w:lang w:bidi="ar-SA"/>
        </w:rPr>
        <w:t>: Formulae used for data conversion.</w:t>
      </w:r>
    </w:p>
    <w:tbl>
      <w:tblPr>
        <w:tblStyle w:val="TableGrid"/>
        <w:tblW w:w="0" w:type="auto"/>
        <w:tblLook w:val="04A0" w:firstRow="1" w:lastRow="0" w:firstColumn="1" w:lastColumn="0" w:noHBand="0" w:noVBand="1"/>
        <w:tblCaption w:val="Table 8: Formulae used for data conversion."/>
        <w:tblDescription w:val="Table 8 contains 3 columns. Column 1 reflects the study of interest, by listing the first author and year of publication. Column 2 reflects the formulae used for data conversion to calculate the raw mean difference. Column 3 lists the formulae used for data conversion to calculate the standard error of Column 2."/>
      </w:tblPr>
      <w:tblGrid>
        <w:gridCol w:w="3020"/>
        <w:gridCol w:w="3020"/>
        <w:gridCol w:w="3020"/>
      </w:tblGrid>
      <w:tr w:rsidR="003208A4" w14:paraId="7212ED97" w14:textId="77777777" w:rsidTr="003208A4">
        <w:tc>
          <w:tcPr>
            <w:tcW w:w="3020" w:type="dxa"/>
          </w:tcPr>
          <w:p w14:paraId="3C46DDD1" w14:textId="77777777" w:rsidR="003208A4" w:rsidRDefault="003208A4" w:rsidP="003208A4">
            <w:pPr>
              <w:rPr>
                <w:b/>
                <w:lang w:bidi="ar-SA"/>
              </w:rPr>
            </w:pPr>
            <w:r>
              <w:rPr>
                <w:b/>
                <w:lang w:bidi="ar-SA"/>
              </w:rPr>
              <w:t>First author (year)</w:t>
            </w:r>
          </w:p>
        </w:tc>
        <w:tc>
          <w:tcPr>
            <w:tcW w:w="3020" w:type="dxa"/>
          </w:tcPr>
          <w:p w14:paraId="05B876F1" w14:textId="77777777" w:rsidR="003208A4" w:rsidRPr="00040652" w:rsidRDefault="003208A4" w:rsidP="003208A4">
            <w:pPr>
              <w:rPr>
                <w:b/>
                <w:lang w:bidi="ar-SA"/>
              </w:rPr>
            </w:pPr>
            <w:r>
              <w:rPr>
                <w:b/>
                <w:lang w:bidi="ar-SA"/>
              </w:rPr>
              <w:t>Raw mean difference (</w:t>
            </w:r>
            <w:r>
              <w:rPr>
                <w:b/>
                <w:i/>
                <w:lang w:bidi="ar-SA"/>
              </w:rPr>
              <w:t>D</w:t>
            </w:r>
            <w:r>
              <w:rPr>
                <w:b/>
                <w:lang w:bidi="ar-SA"/>
              </w:rPr>
              <w:t>)</w:t>
            </w:r>
          </w:p>
        </w:tc>
        <w:tc>
          <w:tcPr>
            <w:tcW w:w="3020" w:type="dxa"/>
          </w:tcPr>
          <w:p w14:paraId="10B7B121" w14:textId="77777777" w:rsidR="003208A4" w:rsidRPr="00040652" w:rsidRDefault="003208A4" w:rsidP="003208A4">
            <w:pPr>
              <w:rPr>
                <w:b/>
                <w:lang w:bidi="ar-SA"/>
              </w:rPr>
            </w:pPr>
            <w:r>
              <w:rPr>
                <w:b/>
                <w:lang w:bidi="ar-SA"/>
              </w:rPr>
              <w:t xml:space="preserve">Standard error of </w:t>
            </w:r>
            <w:r>
              <w:rPr>
                <w:b/>
                <w:i/>
                <w:lang w:bidi="ar-SA"/>
              </w:rPr>
              <w:t xml:space="preserve">D </w:t>
            </w:r>
            <w:r w:rsidRPr="0083773E">
              <w:rPr>
                <w:b/>
                <w:i/>
                <w:lang w:bidi="ar-SA"/>
              </w:rPr>
              <w:t>(SE</w:t>
            </w:r>
            <w:r w:rsidRPr="0083773E">
              <w:rPr>
                <w:b/>
                <w:i/>
                <w:vertAlign w:val="subscript"/>
                <w:lang w:bidi="ar-SA"/>
              </w:rPr>
              <w:t>D</w:t>
            </w:r>
            <w:r w:rsidRPr="0083773E">
              <w:rPr>
                <w:b/>
                <w:i/>
                <w:lang w:bidi="ar-SA"/>
              </w:rPr>
              <w:t>)</w:t>
            </w:r>
          </w:p>
        </w:tc>
      </w:tr>
      <w:tr w:rsidR="003208A4" w14:paraId="5329DDC1" w14:textId="77777777" w:rsidTr="003208A4">
        <w:tc>
          <w:tcPr>
            <w:tcW w:w="3020" w:type="dxa"/>
          </w:tcPr>
          <w:p w14:paraId="5B31B94F" w14:textId="77777777" w:rsidR="003208A4" w:rsidRPr="00040652" w:rsidRDefault="003208A4" w:rsidP="003208A4">
            <w:pPr>
              <w:rPr>
                <w:sz w:val="18"/>
                <w:szCs w:val="18"/>
                <w:lang w:bidi="ar-SA"/>
              </w:rPr>
            </w:pPr>
            <w:r>
              <w:rPr>
                <w:sz w:val="18"/>
                <w:szCs w:val="18"/>
                <w:lang w:bidi="ar-SA"/>
              </w:rPr>
              <w:t>Ito (1990)</w:t>
            </w:r>
          </w:p>
        </w:tc>
        <w:tc>
          <w:tcPr>
            <w:tcW w:w="3020" w:type="dxa"/>
          </w:tcPr>
          <w:p w14:paraId="1D9EE47E" w14:textId="5A511EE6" w:rsidR="003208A4" w:rsidRPr="00040652" w:rsidRDefault="00181E95" w:rsidP="003208A4">
            <w:pPr>
              <w:rPr>
                <w:sz w:val="18"/>
                <w:szCs w:val="18"/>
                <w:lang w:bidi="ar-SA"/>
              </w:rPr>
            </w:pPr>
            <w:r>
              <w:rPr>
                <w:sz w:val="18"/>
                <w:szCs w:val="18"/>
                <w:lang w:bidi="ar-SA"/>
              </w:rPr>
              <w:t>1</w:t>
            </w:r>
            <w:r w:rsidR="003208A4">
              <w:rPr>
                <w:sz w:val="18"/>
                <w:szCs w:val="18"/>
                <w:vertAlign w:val="superscript"/>
                <w:lang w:bidi="ar-SA"/>
              </w:rPr>
              <w:t>3</w:t>
            </w:r>
          </w:p>
        </w:tc>
        <w:tc>
          <w:tcPr>
            <w:tcW w:w="3020" w:type="dxa"/>
          </w:tcPr>
          <w:p w14:paraId="73B0729D" w14:textId="77777777" w:rsidR="003208A4" w:rsidRPr="00040652" w:rsidRDefault="003208A4" w:rsidP="003208A4">
            <w:pPr>
              <w:rPr>
                <w:sz w:val="18"/>
                <w:szCs w:val="18"/>
                <w:lang w:bidi="ar-SA"/>
              </w:rPr>
            </w:pPr>
            <w:r>
              <w:rPr>
                <w:sz w:val="18"/>
                <w:szCs w:val="18"/>
                <w:lang w:bidi="ar-SA"/>
              </w:rPr>
              <w:t>2, 3, 4</w:t>
            </w:r>
          </w:p>
        </w:tc>
      </w:tr>
      <w:tr w:rsidR="003208A4" w14:paraId="2BB360C4" w14:textId="77777777" w:rsidTr="003208A4">
        <w:tc>
          <w:tcPr>
            <w:tcW w:w="3020" w:type="dxa"/>
          </w:tcPr>
          <w:p w14:paraId="082D2489" w14:textId="77777777" w:rsidR="003208A4" w:rsidRPr="00040652" w:rsidRDefault="003208A4" w:rsidP="003208A4">
            <w:pPr>
              <w:rPr>
                <w:sz w:val="18"/>
                <w:szCs w:val="18"/>
                <w:lang w:bidi="ar-SA"/>
              </w:rPr>
            </w:pPr>
            <w:r>
              <w:rPr>
                <w:sz w:val="18"/>
                <w:szCs w:val="18"/>
                <w:lang w:bidi="ar-SA"/>
              </w:rPr>
              <w:t>Van Dokkum (1999)</w:t>
            </w:r>
          </w:p>
        </w:tc>
        <w:tc>
          <w:tcPr>
            <w:tcW w:w="3020" w:type="dxa"/>
          </w:tcPr>
          <w:p w14:paraId="46DF5311" w14:textId="5791F95F" w:rsidR="003208A4" w:rsidRPr="00040652" w:rsidRDefault="003208A4" w:rsidP="00181E95">
            <w:pPr>
              <w:rPr>
                <w:sz w:val="18"/>
                <w:szCs w:val="18"/>
                <w:lang w:bidi="ar-SA"/>
              </w:rPr>
            </w:pPr>
            <w:r>
              <w:rPr>
                <w:sz w:val="18"/>
                <w:szCs w:val="18"/>
                <w:lang w:bidi="ar-SA"/>
              </w:rPr>
              <w:t>1</w:t>
            </w:r>
            <w:r>
              <w:rPr>
                <w:sz w:val="18"/>
                <w:szCs w:val="18"/>
                <w:vertAlign w:val="superscript"/>
                <w:lang w:bidi="ar-SA"/>
              </w:rPr>
              <w:t>3</w:t>
            </w:r>
          </w:p>
        </w:tc>
        <w:tc>
          <w:tcPr>
            <w:tcW w:w="3020" w:type="dxa"/>
          </w:tcPr>
          <w:p w14:paraId="00828EF8" w14:textId="77777777" w:rsidR="003208A4" w:rsidRPr="00040652" w:rsidRDefault="003208A4" w:rsidP="003208A4">
            <w:pPr>
              <w:rPr>
                <w:sz w:val="18"/>
                <w:szCs w:val="18"/>
                <w:lang w:bidi="ar-SA"/>
              </w:rPr>
            </w:pPr>
            <w:r>
              <w:rPr>
                <w:sz w:val="18"/>
                <w:szCs w:val="18"/>
                <w:lang w:bidi="ar-SA"/>
              </w:rPr>
              <w:t>2, 3, 4</w:t>
            </w:r>
          </w:p>
        </w:tc>
      </w:tr>
      <w:tr w:rsidR="003208A4" w14:paraId="0C1ABB7F" w14:textId="77777777" w:rsidTr="003208A4">
        <w:tc>
          <w:tcPr>
            <w:tcW w:w="3020" w:type="dxa"/>
          </w:tcPr>
          <w:p w14:paraId="1B93FA2D" w14:textId="77777777" w:rsidR="003208A4" w:rsidRPr="00040652" w:rsidRDefault="003208A4" w:rsidP="003208A4">
            <w:pPr>
              <w:rPr>
                <w:sz w:val="18"/>
                <w:szCs w:val="18"/>
                <w:lang w:bidi="ar-SA"/>
              </w:rPr>
            </w:pPr>
            <w:r>
              <w:rPr>
                <w:sz w:val="18"/>
                <w:szCs w:val="18"/>
                <w:lang w:bidi="ar-SA"/>
              </w:rPr>
              <w:t>Alles (1999)</w:t>
            </w:r>
          </w:p>
        </w:tc>
        <w:tc>
          <w:tcPr>
            <w:tcW w:w="3020" w:type="dxa"/>
          </w:tcPr>
          <w:p w14:paraId="16F14D74" w14:textId="42E09E27" w:rsidR="003208A4" w:rsidRPr="00040652" w:rsidRDefault="003208A4" w:rsidP="003208A4">
            <w:pPr>
              <w:rPr>
                <w:sz w:val="18"/>
                <w:szCs w:val="18"/>
                <w:lang w:bidi="ar-SA"/>
              </w:rPr>
            </w:pPr>
            <w:r>
              <w:rPr>
                <w:sz w:val="18"/>
                <w:szCs w:val="18"/>
                <w:lang w:bidi="ar-SA"/>
              </w:rPr>
              <w:t>n/a</w:t>
            </w:r>
          </w:p>
        </w:tc>
        <w:tc>
          <w:tcPr>
            <w:tcW w:w="3020" w:type="dxa"/>
          </w:tcPr>
          <w:p w14:paraId="423526B5" w14:textId="77777777" w:rsidR="003208A4" w:rsidRPr="00040652" w:rsidRDefault="003208A4" w:rsidP="003208A4">
            <w:pPr>
              <w:rPr>
                <w:sz w:val="18"/>
                <w:szCs w:val="18"/>
                <w:lang w:bidi="ar-SA"/>
              </w:rPr>
            </w:pPr>
            <w:r>
              <w:rPr>
                <w:sz w:val="18"/>
                <w:szCs w:val="18"/>
                <w:lang w:bidi="ar-SA"/>
              </w:rPr>
              <w:t>5</w:t>
            </w:r>
          </w:p>
        </w:tc>
      </w:tr>
      <w:tr w:rsidR="003208A4" w14:paraId="5764438B" w14:textId="77777777" w:rsidTr="003208A4">
        <w:tc>
          <w:tcPr>
            <w:tcW w:w="3020" w:type="dxa"/>
          </w:tcPr>
          <w:p w14:paraId="7897A8BC" w14:textId="77777777" w:rsidR="003208A4" w:rsidRPr="00040652" w:rsidRDefault="003208A4" w:rsidP="003208A4">
            <w:pPr>
              <w:rPr>
                <w:sz w:val="18"/>
                <w:szCs w:val="18"/>
                <w:lang w:bidi="ar-SA"/>
              </w:rPr>
            </w:pPr>
            <w:r>
              <w:rPr>
                <w:sz w:val="18"/>
                <w:szCs w:val="18"/>
                <w:lang w:bidi="ar-SA"/>
              </w:rPr>
              <w:t>Vulevic (2008)</w:t>
            </w:r>
          </w:p>
        </w:tc>
        <w:tc>
          <w:tcPr>
            <w:tcW w:w="3020" w:type="dxa"/>
          </w:tcPr>
          <w:p w14:paraId="6D313DF0" w14:textId="461BAF8C" w:rsidR="003208A4" w:rsidRPr="00040652" w:rsidRDefault="003208A4" w:rsidP="00181E95">
            <w:pPr>
              <w:rPr>
                <w:sz w:val="18"/>
                <w:szCs w:val="18"/>
                <w:lang w:bidi="ar-SA"/>
              </w:rPr>
            </w:pPr>
            <w:r>
              <w:rPr>
                <w:sz w:val="18"/>
                <w:szCs w:val="18"/>
                <w:lang w:bidi="ar-SA"/>
              </w:rPr>
              <w:t>6</w:t>
            </w:r>
            <w:r>
              <w:rPr>
                <w:sz w:val="18"/>
                <w:szCs w:val="18"/>
                <w:vertAlign w:val="superscript"/>
                <w:lang w:bidi="ar-SA"/>
              </w:rPr>
              <w:t>4</w:t>
            </w:r>
          </w:p>
        </w:tc>
        <w:tc>
          <w:tcPr>
            <w:tcW w:w="3020" w:type="dxa"/>
          </w:tcPr>
          <w:p w14:paraId="152213F4" w14:textId="77777777" w:rsidR="003208A4" w:rsidRPr="00040652" w:rsidRDefault="003208A4" w:rsidP="003208A4">
            <w:pPr>
              <w:rPr>
                <w:sz w:val="18"/>
                <w:szCs w:val="18"/>
                <w:lang w:bidi="ar-SA"/>
              </w:rPr>
            </w:pPr>
            <w:r>
              <w:rPr>
                <w:sz w:val="18"/>
                <w:szCs w:val="18"/>
                <w:lang w:bidi="ar-SA"/>
              </w:rPr>
              <w:t>7, 8, 9, 10, 11</w:t>
            </w:r>
          </w:p>
        </w:tc>
      </w:tr>
      <w:tr w:rsidR="003208A4" w14:paraId="7A06D67B" w14:textId="77777777" w:rsidTr="003208A4">
        <w:tc>
          <w:tcPr>
            <w:tcW w:w="3020" w:type="dxa"/>
          </w:tcPr>
          <w:p w14:paraId="3C800569" w14:textId="77777777" w:rsidR="003208A4" w:rsidRPr="00040652" w:rsidRDefault="003208A4" w:rsidP="003208A4">
            <w:pPr>
              <w:rPr>
                <w:sz w:val="18"/>
                <w:szCs w:val="18"/>
                <w:lang w:bidi="ar-SA"/>
              </w:rPr>
            </w:pPr>
            <w:r>
              <w:rPr>
                <w:sz w:val="18"/>
                <w:szCs w:val="18"/>
                <w:lang w:bidi="ar-SA"/>
              </w:rPr>
              <w:t>Vulevic (2013)</w:t>
            </w:r>
          </w:p>
        </w:tc>
        <w:tc>
          <w:tcPr>
            <w:tcW w:w="3020" w:type="dxa"/>
          </w:tcPr>
          <w:p w14:paraId="165C65CA" w14:textId="66096288" w:rsidR="003208A4" w:rsidRPr="00040652" w:rsidRDefault="003208A4" w:rsidP="00181E95">
            <w:pPr>
              <w:rPr>
                <w:sz w:val="18"/>
                <w:szCs w:val="18"/>
                <w:lang w:bidi="ar-SA"/>
              </w:rPr>
            </w:pPr>
            <w:r>
              <w:rPr>
                <w:sz w:val="18"/>
                <w:szCs w:val="18"/>
                <w:lang w:bidi="ar-SA"/>
              </w:rPr>
              <w:t>6</w:t>
            </w:r>
            <w:r w:rsidRPr="007E6D3F">
              <w:rPr>
                <w:sz w:val="18"/>
                <w:szCs w:val="18"/>
                <w:vertAlign w:val="superscript"/>
                <w:lang w:bidi="ar-SA"/>
              </w:rPr>
              <w:t>4</w:t>
            </w:r>
          </w:p>
        </w:tc>
        <w:tc>
          <w:tcPr>
            <w:tcW w:w="3020" w:type="dxa"/>
          </w:tcPr>
          <w:p w14:paraId="71B9A549" w14:textId="77777777" w:rsidR="003208A4" w:rsidRPr="00040652" w:rsidRDefault="003208A4" w:rsidP="003208A4">
            <w:pPr>
              <w:rPr>
                <w:sz w:val="18"/>
                <w:szCs w:val="18"/>
                <w:lang w:bidi="ar-SA"/>
              </w:rPr>
            </w:pPr>
            <w:r>
              <w:rPr>
                <w:sz w:val="18"/>
                <w:szCs w:val="18"/>
                <w:lang w:bidi="ar-SA"/>
              </w:rPr>
              <w:t>7, 8, 9, 10, 11</w:t>
            </w:r>
          </w:p>
        </w:tc>
      </w:tr>
      <w:tr w:rsidR="003208A4" w14:paraId="7FBB6E58" w14:textId="77777777" w:rsidTr="003208A4">
        <w:tc>
          <w:tcPr>
            <w:tcW w:w="3020" w:type="dxa"/>
          </w:tcPr>
          <w:p w14:paraId="735F1B5A" w14:textId="4CF3ECAE" w:rsidR="003208A4" w:rsidRPr="00040652" w:rsidRDefault="00A407D3" w:rsidP="003208A4">
            <w:pPr>
              <w:rPr>
                <w:sz w:val="18"/>
                <w:szCs w:val="18"/>
                <w:vertAlign w:val="superscript"/>
                <w:lang w:bidi="ar-SA"/>
              </w:rPr>
            </w:pPr>
            <w:r>
              <w:rPr>
                <w:sz w:val="18"/>
                <w:szCs w:val="18"/>
                <w:lang w:bidi="ar-SA"/>
              </w:rPr>
              <w:t>Pedersen</w:t>
            </w:r>
            <w:r w:rsidR="003208A4">
              <w:rPr>
                <w:sz w:val="18"/>
                <w:szCs w:val="18"/>
                <w:lang w:bidi="ar-SA"/>
              </w:rPr>
              <w:t xml:space="preserve"> (2016)</w:t>
            </w:r>
            <w:r w:rsidR="003208A4">
              <w:rPr>
                <w:sz w:val="18"/>
                <w:szCs w:val="18"/>
                <w:vertAlign w:val="superscript"/>
                <w:lang w:bidi="ar-SA"/>
              </w:rPr>
              <w:t>1</w:t>
            </w:r>
          </w:p>
        </w:tc>
        <w:tc>
          <w:tcPr>
            <w:tcW w:w="3020" w:type="dxa"/>
          </w:tcPr>
          <w:p w14:paraId="22A9307A" w14:textId="15F7FBC4" w:rsidR="003208A4" w:rsidRPr="00040652" w:rsidRDefault="003208A4" w:rsidP="00181E95">
            <w:pPr>
              <w:rPr>
                <w:sz w:val="18"/>
                <w:szCs w:val="18"/>
                <w:lang w:bidi="ar-SA"/>
              </w:rPr>
            </w:pPr>
            <w:r>
              <w:rPr>
                <w:sz w:val="18"/>
                <w:szCs w:val="18"/>
                <w:lang w:bidi="ar-SA"/>
              </w:rPr>
              <w:t>12, 14</w:t>
            </w:r>
            <w:r>
              <w:rPr>
                <w:sz w:val="18"/>
                <w:szCs w:val="18"/>
                <w:vertAlign w:val="superscript"/>
                <w:lang w:bidi="ar-SA"/>
              </w:rPr>
              <w:t>4</w:t>
            </w:r>
          </w:p>
        </w:tc>
        <w:tc>
          <w:tcPr>
            <w:tcW w:w="3020" w:type="dxa"/>
          </w:tcPr>
          <w:p w14:paraId="4FB577A2" w14:textId="77777777" w:rsidR="003208A4" w:rsidRPr="00040652" w:rsidRDefault="003208A4" w:rsidP="003208A4">
            <w:pPr>
              <w:rPr>
                <w:sz w:val="18"/>
                <w:szCs w:val="18"/>
                <w:lang w:bidi="ar-SA"/>
              </w:rPr>
            </w:pPr>
            <w:r>
              <w:rPr>
                <w:sz w:val="18"/>
                <w:szCs w:val="18"/>
                <w:lang w:bidi="ar-SA"/>
              </w:rPr>
              <w:t>13, 7, 8, 9, 10, 11</w:t>
            </w:r>
          </w:p>
        </w:tc>
      </w:tr>
      <w:tr w:rsidR="003208A4" w14:paraId="118645FA" w14:textId="77777777" w:rsidTr="003208A4">
        <w:tc>
          <w:tcPr>
            <w:tcW w:w="3020" w:type="dxa"/>
          </w:tcPr>
          <w:p w14:paraId="548526C5" w14:textId="52F636D8" w:rsidR="003208A4" w:rsidRPr="00040652" w:rsidRDefault="00A407D3" w:rsidP="003208A4">
            <w:pPr>
              <w:rPr>
                <w:sz w:val="18"/>
                <w:szCs w:val="18"/>
                <w:vertAlign w:val="superscript"/>
                <w:lang w:bidi="ar-SA"/>
              </w:rPr>
            </w:pPr>
            <w:r>
              <w:rPr>
                <w:sz w:val="18"/>
                <w:szCs w:val="18"/>
                <w:lang w:bidi="ar-SA"/>
              </w:rPr>
              <w:t>Pedersen</w:t>
            </w:r>
            <w:r w:rsidR="003208A4">
              <w:rPr>
                <w:sz w:val="18"/>
                <w:szCs w:val="18"/>
                <w:lang w:bidi="ar-SA"/>
              </w:rPr>
              <w:t xml:space="preserve"> (2016)</w:t>
            </w:r>
            <w:r w:rsidR="003208A4">
              <w:rPr>
                <w:sz w:val="18"/>
                <w:szCs w:val="18"/>
                <w:vertAlign w:val="superscript"/>
                <w:lang w:bidi="ar-SA"/>
              </w:rPr>
              <w:t>2</w:t>
            </w:r>
          </w:p>
        </w:tc>
        <w:tc>
          <w:tcPr>
            <w:tcW w:w="3020" w:type="dxa"/>
          </w:tcPr>
          <w:p w14:paraId="132D36B3" w14:textId="065CB3D8" w:rsidR="003208A4" w:rsidRPr="00040652" w:rsidRDefault="003208A4" w:rsidP="00181E95">
            <w:pPr>
              <w:rPr>
                <w:sz w:val="18"/>
                <w:szCs w:val="18"/>
                <w:lang w:bidi="ar-SA"/>
              </w:rPr>
            </w:pPr>
            <w:r>
              <w:rPr>
                <w:sz w:val="18"/>
                <w:szCs w:val="18"/>
                <w:lang w:bidi="ar-SA"/>
              </w:rPr>
              <w:t>6</w:t>
            </w:r>
            <w:r>
              <w:rPr>
                <w:sz w:val="18"/>
                <w:szCs w:val="18"/>
                <w:vertAlign w:val="superscript"/>
                <w:lang w:bidi="ar-SA"/>
              </w:rPr>
              <w:t>4</w:t>
            </w:r>
          </w:p>
        </w:tc>
        <w:tc>
          <w:tcPr>
            <w:tcW w:w="3020" w:type="dxa"/>
          </w:tcPr>
          <w:p w14:paraId="4898306B" w14:textId="77777777" w:rsidR="003208A4" w:rsidRPr="00040652" w:rsidRDefault="003208A4" w:rsidP="003208A4">
            <w:pPr>
              <w:rPr>
                <w:sz w:val="18"/>
                <w:szCs w:val="18"/>
                <w:lang w:bidi="ar-SA"/>
              </w:rPr>
            </w:pPr>
            <w:r>
              <w:rPr>
                <w:sz w:val="18"/>
                <w:szCs w:val="18"/>
                <w:lang w:bidi="ar-SA"/>
              </w:rPr>
              <w:t>15, 16, 17</w:t>
            </w:r>
          </w:p>
        </w:tc>
      </w:tr>
      <w:tr w:rsidR="003208A4" w14:paraId="55360A8E" w14:textId="77777777" w:rsidTr="003208A4">
        <w:tc>
          <w:tcPr>
            <w:tcW w:w="3020" w:type="dxa"/>
          </w:tcPr>
          <w:p w14:paraId="673737C6" w14:textId="77777777" w:rsidR="003208A4" w:rsidRPr="00040652" w:rsidRDefault="003208A4" w:rsidP="003208A4">
            <w:pPr>
              <w:rPr>
                <w:sz w:val="18"/>
                <w:szCs w:val="18"/>
                <w:lang w:bidi="ar-SA"/>
              </w:rPr>
            </w:pPr>
            <w:r>
              <w:rPr>
                <w:sz w:val="18"/>
                <w:szCs w:val="18"/>
                <w:lang w:bidi="ar-SA"/>
              </w:rPr>
              <w:t>Canfora (2017)</w:t>
            </w:r>
          </w:p>
        </w:tc>
        <w:tc>
          <w:tcPr>
            <w:tcW w:w="3020" w:type="dxa"/>
          </w:tcPr>
          <w:p w14:paraId="4C638A5C" w14:textId="7C293955" w:rsidR="003208A4" w:rsidRPr="00040652" w:rsidRDefault="003208A4" w:rsidP="00181E95">
            <w:pPr>
              <w:rPr>
                <w:sz w:val="18"/>
                <w:szCs w:val="18"/>
                <w:lang w:bidi="ar-SA"/>
              </w:rPr>
            </w:pPr>
            <w:r>
              <w:rPr>
                <w:sz w:val="18"/>
                <w:szCs w:val="18"/>
                <w:lang w:bidi="ar-SA"/>
              </w:rPr>
              <w:t>6</w:t>
            </w:r>
            <w:r>
              <w:rPr>
                <w:sz w:val="18"/>
                <w:szCs w:val="18"/>
                <w:vertAlign w:val="superscript"/>
                <w:lang w:bidi="ar-SA"/>
              </w:rPr>
              <w:t>4</w:t>
            </w:r>
          </w:p>
        </w:tc>
        <w:tc>
          <w:tcPr>
            <w:tcW w:w="3020" w:type="dxa"/>
          </w:tcPr>
          <w:p w14:paraId="21BFC6B0" w14:textId="77777777" w:rsidR="003208A4" w:rsidRPr="00040652" w:rsidRDefault="003208A4" w:rsidP="003208A4">
            <w:pPr>
              <w:rPr>
                <w:sz w:val="18"/>
                <w:szCs w:val="18"/>
                <w:lang w:bidi="ar-SA"/>
              </w:rPr>
            </w:pPr>
            <w:r>
              <w:rPr>
                <w:sz w:val="18"/>
                <w:szCs w:val="18"/>
                <w:lang w:bidi="ar-SA"/>
              </w:rPr>
              <w:t>7, 8, 9, 10, 11</w:t>
            </w:r>
          </w:p>
        </w:tc>
      </w:tr>
    </w:tbl>
    <w:p w14:paraId="153FC168" w14:textId="77777777" w:rsidR="003208A4" w:rsidRDefault="003208A4" w:rsidP="003208A4">
      <w:pPr>
        <w:rPr>
          <w:sz w:val="18"/>
          <w:szCs w:val="18"/>
          <w:lang w:bidi="ar-SA"/>
        </w:rPr>
      </w:pPr>
      <w:r w:rsidRPr="00040652">
        <w:rPr>
          <w:sz w:val="18"/>
          <w:szCs w:val="18"/>
          <w:lang w:bidi="ar-SA"/>
        </w:rPr>
        <w:t>n/a, not applicable</w:t>
      </w:r>
      <w:r>
        <w:rPr>
          <w:sz w:val="18"/>
          <w:szCs w:val="18"/>
          <w:lang w:bidi="ar-SA"/>
        </w:rPr>
        <w:t xml:space="preserve"> as this was directly reported.</w:t>
      </w:r>
    </w:p>
    <w:p w14:paraId="49EB61C3" w14:textId="77777777" w:rsidR="003208A4" w:rsidRPr="00040652" w:rsidRDefault="003208A4" w:rsidP="003208A4">
      <w:pPr>
        <w:rPr>
          <w:sz w:val="18"/>
          <w:szCs w:val="18"/>
          <w:lang w:bidi="ar-SA"/>
        </w:rPr>
      </w:pPr>
      <w:r>
        <w:rPr>
          <w:sz w:val="18"/>
          <w:szCs w:val="18"/>
          <w:vertAlign w:val="superscript"/>
          <w:lang w:bidi="ar-SA"/>
        </w:rPr>
        <w:t xml:space="preserve">1 </w:t>
      </w:r>
      <w:r>
        <w:rPr>
          <w:sz w:val="18"/>
          <w:szCs w:val="18"/>
          <w:lang w:bidi="ar-SA"/>
        </w:rPr>
        <w:t>For one outcome, HOMA-IR, only.</w:t>
      </w:r>
    </w:p>
    <w:p w14:paraId="66124B68" w14:textId="77777777" w:rsidR="003208A4" w:rsidRPr="007E6D3F" w:rsidRDefault="003208A4" w:rsidP="003208A4">
      <w:pPr>
        <w:rPr>
          <w:sz w:val="18"/>
          <w:szCs w:val="18"/>
          <w:lang w:bidi="ar-SA"/>
        </w:rPr>
      </w:pPr>
      <w:r>
        <w:rPr>
          <w:sz w:val="18"/>
          <w:szCs w:val="18"/>
          <w:vertAlign w:val="superscript"/>
          <w:lang w:bidi="ar-SA"/>
        </w:rPr>
        <w:t xml:space="preserve">2 </w:t>
      </w:r>
      <w:r>
        <w:rPr>
          <w:sz w:val="18"/>
          <w:szCs w:val="18"/>
          <w:lang w:bidi="ar-SA"/>
        </w:rPr>
        <w:t>For all o</w:t>
      </w:r>
      <w:r w:rsidRPr="007E6D3F">
        <w:rPr>
          <w:sz w:val="18"/>
          <w:szCs w:val="18"/>
          <w:lang w:bidi="ar-SA"/>
        </w:rPr>
        <w:t>utcomes except HOMA-IR.</w:t>
      </w:r>
    </w:p>
    <w:p w14:paraId="66E3BF41" w14:textId="01180C98" w:rsidR="003208A4" w:rsidRPr="007E6D3F" w:rsidRDefault="003208A4" w:rsidP="003208A4">
      <w:pPr>
        <w:rPr>
          <w:sz w:val="18"/>
          <w:szCs w:val="18"/>
          <w:lang w:bidi="ar-SA"/>
        </w:rPr>
      </w:pPr>
      <w:r w:rsidRPr="007E6D3F">
        <w:rPr>
          <w:sz w:val="18"/>
          <w:szCs w:val="18"/>
          <w:vertAlign w:val="superscript"/>
          <w:lang w:bidi="ar-SA"/>
        </w:rPr>
        <w:t>3</w:t>
      </w:r>
      <w:r w:rsidRPr="007E6D3F">
        <w:rPr>
          <w:sz w:val="18"/>
          <w:szCs w:val="18"/>
          <w:lang w:bidi="ar-SA"/>
        </w:rPr>
        <w:t xml:space="preserve"> Difference between groups at </w:t>
      </w:r>
      <w:r w:rsidR="007F0E9F">
        <w:rPr>
          <w:sz w:val="18"/>
          <w:szCs w:val="18"/>
          <w:lang w:bidi="ar-SA"/>
        </w:rPr>
        <w:t>follow-up</w:t>
      </w:r>
      <w:r w:rsidRPr="007E6D3F">
        <w:rPr>
          <w:sz w:val="18"/>
          <w:szCs w:val="18"/>
          <w:lang w:bidi="ar-SA"/>
        </w:rPr>
        <w:t>.</w:t>
      </w:r>
    </w:p>
    <w:p w14:paraId="4A2CFEB9" w14:textId="7EE997F3" w:rsidR="003208A4" w:rsidRPr="00040652" w:rsidRDefault="003208A4" w:rsidP="003208A4">
      <w:pPr>
        <w:rPr>
          <w:sz w:val="18"/>
          <w:szCs w:val="18"/>
          <w:lang w:bidi="ar-SA"/>
        </w:rPr>
      </w:pPr>
      <w:r w:rsidRPr="007E6D3F">
        <w:rPr>
          <w:sz w:val="18"/>
          <w:szCs w:val="18"/>
          <w:vertAlign w:val="superscript"/>
          <w:lang w:bidi="ar-SA"/>
        </w:rPr>
        <w:t>4</w:t>
      </w:r>
      <w:r w:rsidRPr="007E6D3F">
        <w:rPr>
          <w:sz w:val="18"/>
          <w:szCs w:val="18"/>
          <w:lang w:bidi="ar-SA"/>
        </w:rPr>
        <w:t xml:space="preserve"> Change scores; difference between grou</w:t>
      </w:r>
      <w:r w:rsidR="007F0E9F">
        <w:rPr>
          <w:sz w:val="18"/>
          <w:szCs w:val="18"/>
          <w:lang w:bidi="ar-SA"/>
        </w:rPr>
        <w:t>ps over time, from baseline to follow-up</w:t>
      </w:r>
      <w:r w:rsidRPr="007E6D3F">
        <w:rPr>
          <w:sz w:val="18"/>
          <w:szCs w:val="18"/>
          <w:lang w:bidi="ar-SA"/>
        </w:rPr>
        <w:t>.</w:t>
      </w:r>
    </w:p>
    <w:p w14:paraId="3B34DE71" w14:textId="77777777" w:rsidR="003208A4" w:rsidRDefault="003208A4" w:rsidP="003208A4">
      <w:pPr>
        <w:rPr>
          <w:lang w:bidi="ar-SA"/>
        </w:rPr>
      </w:pPr>
    </w:p>
    <w:p w14:paraId="764669B7" w14:textId="77777777" w:rsidR="003208A4" w:rsidRDefault="003208A4" w:rsidP="003208A4">
      <w:pPr>
        <w:rPr>
          <w:lang w:bidi="ar-SA"/>
        </w:rPr>
      </w:pPr>
    </w:p>
    <w:p w14:paraId="06529B6D" w14:textId="1D55301A" w:rsidR="003208A4" w:rsidRDefault="003208A4" w:rsidP="003208A4">
      <w:pPr>
        <w:rPr>
          <w:lang w:bidi="ar-SA"/>
        </w:rPr>
      </w:pPr>
      <w:r>
        <w:rPr>
          <w:lang w:bidi="ar-SA"/>
        </w:rPr>
        <w:t xml:space="preserve">Two crossover or Latin square studies (Ito et al. 1990, and van Dokkum et al. 1999) reported the mean and standard deviation at </w:t>
      </w:r>
      <w:r w:rsidR="007F0E9F">
        <w:rPr>
          <w:lang w:bidi="ar-SA"/>
        </w:rPr>
        <w:t>follow-up</w:t>
      </w:r>
      <w:r>
        <w:rPr>
          <w:lang w:bidi="ar-SA"/>
        </w:rPr>
        <w:t xml:space="preserve"> only. The mean difference (</w:t>
      </w:r>
      <w:r w:rsidRPr="0018747E">
        <w:rPr>
          <w:i/>
          <w:lang w:bidi="ar-SA"/>
        </w:rPr>
        <w:t>D</w:t>
      </w:r>
      <w:r>
        <w:rPr>
          <w:lang w:bidi="ar-SA"/>
        </w:rPr>
        <w:t>) was calculated as:</w:t>
      </w:r>
    </w:p>
    <w:p w14:paraId="2A216783" w14:textId="77777777" w:rsidR="003208A4" w:rsidRDefault="003208A4" w:rsidP="003208A4">
      <w:pPr>
        <w:jc w:val="right"/>
        <w:rPr>
          <w:lang w:bidi="ar-SA"/>
        </w:rPr>
      </w:pPr>
      <w:r>
        <w:rPr>
          <w:lang w:bidi="ar-SA"/>
        </w:rPr>
        <w:t>(1)</w:t>
      </w:r>
    </w:p>
    <w:p w14:paraId="5E8CC7EE" w14:textId="0B90B9F2" w:rsidR="003208A4" w:rsidRDefault="003208A4" w:rsidP="003208A4">
      <w:pPr>
        <w:rPr>
          <w:lang w:bidi="ar-SA"/>
        </w:rPr>
      </w:pPr>
      <m:oMathPara>
        <m:oMath>
          <m:r>
            <w:rPr>
              <w:rFonts w:ascii="Cambria Math" w:hAnsi="Cambria Math"/>
              <w:lang w:bidi="ar-SA"/>
            </w:rPr>
            <m:t>D=</m:t>
          </m:r>
          <m:sSub>
            <m:sSubPr>
              <m:ctrlPr>
                <w:rPr>
                  <w:rFonts w:ascii="Cambria Math" w:hAnsi="Cambria Math"/>
                  <w:i/>
                  <w:lang w:bidi="ar-SA"/>
                </w:rPr>
              </m:ctrlPr>
            </m:sSubPr>
            <m:e>
              <m:r>
                <w:rPr>
                  <w:rFonts w:ascii="Cambria Math" w:hAnsi="Cambria Math"/>
                  <w:lang w:bidi="ar-SA"/>
                </w:rPr>
                <m:t>mean</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mean</m:t>
              </m:r>
            </m:e>
            <m:sub>
              <m:r>
                <w:rPr>
                  <w:rFonts w:ascii="Cambria Math" w:hAnsi="Cambria Math"/>
                  <w:lang w:bidi="ar-SA"/>
                </w:rPr>
                <m:t>(placebo follow-up)</m:t>
              </m:r>
            </m:sub>
          </m:sSub>
        </m:oMath>
      </m:oMathPara>
    </w:p>
    <w:p w14:paraId="59DEF044" w14:textId="77777777" w:rsidR="003208A4" w:rsidRDefault="003208A4" w:rsidP="003208A4">
      <w:pPr>
        <w:rPr>
          <w:lang w:bidi="ar-SA"/>
        </w:rPr>
      </w:pPr>
    </w:p>
    <w:p w14:paraId="58B455BD" w14:textId="6155C3BC" w:rsidR="003208A4" w:rsidRPr="00074002" w:rsidRDefault="003208A4" w:rsidP="003208A4">
      <w:pPr>
        <w:rPr>
          <w:lang w:bidi="ar-SA"/>
        </w:rPr>
      </w:pPr>
      <w:r>
        <w:rPr>
          <w:lang w:bidi="ar-SA"/>
        </w:rPr>
        <w:t>For these crossover or Latin square studies (Ito et a</w:t>
      </w:r>
      <w:r w:rsidR="00181E95">
        <w:rPr>
          <w:lang w:bidi="ar-SA"/>
        </w:rPr>
        <w:t>l. 1990</w:t>
      </w:r>
      <w:r>
        <w:rPr>
          <w:lang w:bidi="ar-SA"/>
        </w:rPr>
        <w:t xml:space="preserve"> and van Dokkum et al. 1999), the standard error of the difference was calculated using equations appropriate fo</w:t>
      </w:r>
      <w:r w:rsidR="00263117">
        <w:rPr>
          <w:lang w:bidi="ar-SA"/>
        </w:rPr>
        <w:t>r studies using matched groups (</w:t>
      </w:r>
      <w:r w:rsidR="008E6DF0" w:rsidRPr="00EE58F3">
        <w:t>Borenstein</w:t>
      </w:r>
      <w:r w:rsidR="008E6DF0">
        <w:t xml:space="preserve"> </w:t>
      </w:r>
      <w:r w:rsidR="0061020E">
        <w:t xml:space="preserve">et al. </w:t>
      </w:r>
      <w:r w:rsidR="008E6DF0">
        <w:t>2009</w:t>
      </w:r>
      <w:r w:rsidR="00263117">
        <w:t>)</w:t>
      </w:r>
      <w:r>
        <w:rPr>
          <w:lang w:bidi="ar-SA"/>
        </w:rPr>
        <w:t>:</w:t>
      </w:r>
    </w:p>
    <w:p w14:paraId="194A293A" w14:textId="77777777" w:rsidR="003208A4" w:rsidRDefault="003208A4" w:rsidP="003208A4">
      <w:pPr>
        <w:ind w:left="360"/>
        <w:rPr>
          <w:lang w:bidi="ar-SA"/>
        </w:rPr>
      </w:pPr>
      <w:r>
        <w:rPr>
          <w:lang w:bidi="ar-SA"/>
        </w:rPr>
        <w:t xml:space="preserve">The standard error of </w:t>
      </w:r>
      <w:r>
        <w:rPr>
          <w:i/>
          <w:lang w:bidi="ar-SA"/>
        </w:rPr>
        <w:t>D</w:t>
      </w:r>
      <w:r w:rsidRPr="00772994">
        <w:rPr>
          <w:lang w:bidi="ar-SA"/>
        </w:rPr>
        <w:t xml:space="preserve"> is,</w:t>
      </w:r>
    </w:p>
    <w:p w14:paraId="4D1C4952" w14:textId="77777777" w:rsidR="003208A4" w:rsidRDefault="003208A4" w:rsidP="003208A4">
      <w:pPr>
        <w:ind w:left="360"/>
        <w:jc w:val="right"/>
        <w:rPr>
          <w:lang w:bidi="ar-SA"/>
        </w:rPr>
      </w:pPr>
      <w:r>
        <w:rPr>
          <w:lang w:bidi="ar-SA"/>
        </w:rPr>
        <w:t>(2)</w:t>
      </w:r>
    </w:p>
    <w:p w14:paraId="5135B1EB" w14:textId="77777777" w:rsidR="003208A4"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D</m:t>
              </m:r>
            </m:sub>
          </m:sSub>
          <m:r>
            <w:rPr>
              <w:rFonts w:ascii="Cambria Math" w:hAnsi="Cambria Math"/>
              <w:lang w:bidi="ar-SA"/>
            </w:rPr>
            <m:t xml:space="preserve">= </m:t>
          </m:r>
          <m:rad>
            <m:radPr>
              <m:degHide m:val="1"/>
              <m:ctrlPr>
                <w:rPr>
                  <w:rFonts w:ascii="Cambria Math" w:hAnsi="Cambria Math"/>
                  <w:i/>
                  <w:lang w:bidi="ar-SA"/>
                </w:rPr>
              </m:ctrlPr>
            </m:radPr>
            <m:deg/>
            <m:e>
              <m:sSub>
                <m:sSubPr>
                  <m:ctrlPr>
                    <w:rPr>
                      <w:rFonts w:ascii="Cambria Math" w:hAnsi="Cambria Math"/>
                      <w:i/>
                      <w:lang w:bidi="ar-SA"/>
                    </w:rPr>
                  </m:ctrlPr>
                </m:sSubPr>
                <m:e>
                  <m:r>
                    <w:rPr>
                      <w:rFonts w:ascii="Cambria Math" w:hAnsi="Cambria Math"/>
                      <w:lang w:bidi="ar-SA"/>
                    </w:rPr>
                    <m:t>V</m:t>
                  </m:r>
                </m:e>
                <m:sub>
                  <m:r>
                    <w:rPr>
                      <w:rFonts w:ascii="Cambria Math" w:hAnsi="Cambria Math"/>
                      <w:lang w:bidi="ar-SA"/>
                    </w:rPr>
                    <m:t>D</m:t>
                  </m:r>
                </m:sub>
              </m:sSub>
            </m:e>
          </m:rad>
        </m:oMath>
      </m:oMathPara>
    </w:p>
    <w:p w14:paraId="13F76A20" w14:textId="77777777" w:rsidR="003208A4" w:rsidRDefault="003208A4" w:rsidP="003208A4">
      <w:pPr>
        <w:ind w:left="360"/>
        <w:rPr>
          <w:lang w:bidi="ar-SA"/>
        </w:rPr>
      </w:pPr>
      <w:r>
        <w:rPr>
          <w:lang w:bidi="ar-SA"/>
        </w:rPr>
        <w:t xml:space="preserve">where the variance of </w:t>
      </w:r>
      <w:r w:rsidRPr="00282BA1">
        <w:rPr>
          <w:i/>
          <w:lang w:bidi="ar-SA"/>
        </w:rPr>
        <w:t>D</w:t>
      </w:r>
      <w:r>
        <w:rPr>
          <w:lang w:bidi="ar-SA"/>
        </w:rPr>
        <w:t xml:space="preserve"> (</w:t>
      </w:r>
      <w:r w:rsidRPr="00282BA1">
        <w:rPr>
          <w:i/>
          <w:lang w:bidi="ar-SA"/>
        </w:rPr>
        <w:t>V</w:t>
      </w:r>
      <w:r w:rsidRPr="00282BA1">
        <w:rPr>
          <w:i/>
          <w:vertAlign w:val="subscript"/>
          <w:lang w:bidi="ar-SA"/>
        </w:rPr>
        <w:t>D</w:t>
      </w:r>
      <w:r>
        <w:rPr>
          <w:lang w:bidi="ar-SA"/>
        </w:rPr>
        <w:t>) is,</w:t>
      </w:r>
    </w:p>
    <w:p w14:paraId="15AF1ABB" w14:textId="77777777" w:rsidR="003208A4" w:rsidRDefault="003208A4" w:rsidP="003208A4">
      <w:pPr>
        <w:ind w:left="360"/>
        <w:jc w:val="right"/>
        <w:rPr>
          <w:lang w:bidi="ar-SA"/>
        </w:rPr>
      </w:pPr>
      <w:r>
        <w:rPr>
          <w:lang w:bidi="ar-SA"/>
        </w:rPr>
        <w:t>(3)</w:t>
      </w:r>
    </w:p>
    <w:p w14:paraId="79A127E2" w14:textId="77777777" w:rsidR="003208A4"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V</m:t>
              </m:r>
            </m:e>
            <m:sub>
              <m:r>
                <w:rPr>
                  <w:rFonts w:ascii="Cambria Math" w:hAnsi="Cambria Math"/>
                  <w:lang w:bidi="ar-SA"/>
                </w:rPr>
                <m:t>D</m:t>
              </m:r>
            </m:sub>
          </m:sSub>
          <m:r>
            <w:rPr>
              <w:rFonts w:ascii="Cambria Math" w:hAnsi="Cambria Math"/>
              <w:lang w:bidi="ar-SA"/>
            </w:rPr>
            <m:t xml:space="preserve">= </m:t>
          </m:r>
          <m:f>
            <m:fPr>
              <m:ctrlPr>
                <w:rPr>
                  <w:rFonts w:ascii="Cambria Math" w:hAnsi="Cambria Math"/>
                  <w:i/>
                  <w:lang w:bidi="ar-SA"/>
                </w:rPr>
              </m:ctrlPr>
            </m:fPr>
            <m:num>
              <m:sSubSup>
                <m:sSubSupPr>
                  <m:ctrlPr>
                    <w:rPr>
                      <w:rFonts w:ascii="Cambria Math" w:hAnsi="Cambria Math"/>
                      <w:i/>
                      <w:lang w:bidi="ar-SA"/>
                    </w:rPr>
                  </m:ctrlPr>
                </m:sSubSupPr>
                <m:e>
                  <m:r>
                    <w:rPr>
                      <w:rFonts w:ascii="Cambria Math" w:hAnsi="Cambria Math"/>
                      <w:lang w:bidi="ar-SA"/>
                    </w:rPr>
                    <m:t>S</m:t>
                  </m:r>
                </m:e>
                <m:sub>
                  <m:r>
                    <w:rPr>
                      <w:rFonts w:ascii="Cambria Math" w:hAnsi="Cambria Math"/>
                      <w:lang w:bidi="ar-SA"/>
                    </w:rPr>
                    <m:t>diff</m:t>
                  </m:r>
                </m:sub>
                <m:sup>
                  <m:r>
                    <w:rPr>
                      <w:rFonts w:ascii="Cambria Math" w:hAnsi="Cambria Math"/>
                      <w:lang w:bidi="ar-SA"/>
                    </w:rPr>
                    <m:t>2</m:t>
                  </m:r>
                </m:sup>
              </m:sSubSup>
            </m:num>
            <m:den>
              <m:r>
                <w:rPr>
                  <w:rFonts w:ascii="Cambria Math" w:hAnsi="Cambria Math"/>
                  <w:lang w:bidi="ar-SA"/>
                </w:rPr>
                <m:t>n</m:t>
              </m:r>
            </m:den>
          </m:f>
        </m:oMath>
      </m:oMathPara>
    </w:p>
    <w:p w14:paraId="368412E5" w14:textId="77777777" w:rsidR="003208A4" w:rsidRDefault="003208A4" w:rsidP="003208A4">
      <w:pPr>
        <w:ind w:left="360"/>
        <w:rPr>
          <w:lang w:bidi="ar-SA"/>
        </w:rPr>
      </w:pPr>
      <w:r>
        <w:rPr>
          <w:lang w:bidi="ar-SA"/>
        </w:rPr>
        <w:t>where the standard deviation of the mean difference (</w:t>
      </w:r>
      <w:r w:rsidRPr="00282BA1">
        <w:rPr>
          <w:i/>
          <w:lang w:bidi="ar-SA"/>
        </w:rPr>
        <w:t>S</w:t>
      </w:r>
      <w:r>
        <w:rPr>
          <w:i/>
          <w:vertAlign w:val="subscript"/>
          <w:lang w:bidi="ar-SA"/>
        </w:rPr>
        <w:t>diff</w:t>
      </w:r>
      <w:r>
        <w:rPr>
          <w:lang w:bidi="ar-SA"/>
        </w:rPr>
        <w:t>) is,</w:t>
      </w:r>
    </w:p>
    <w:p w14:paraId="03D5B688" w14:textId="77777777" w:rsidR="003208A4" w:rsidRDefault="003208A4" w:rsidP="003208A4">
      <w:pPr>
        <w:ind w:left="360"/>
        <w:jc w:val="right"/>
        <w:rPr>
          <w:lang w:bidi="ar-SA"/>
        </w:rPr>
      </w:pPr>
      <w:r>
        <w:rPr>
          <w:lang w:bidi="ar-SA"/>
        </w:rPr>
        <w:t>(4)</w:t>
      </w:r>
    </w:p>
    <w:p w14:paraId="38C842FE" w14:textId="77777777" w:rsidR="003208A4" w:rsidRPr="008009D7"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m:t>
              </m:r>
            </m:e>
            <m:sub>
              <m:r>
                <w:rPr>
                  <w:rFonts w:ascii="Cambria Math" w:hAnsi="Cambria Math"/>
                  <w:lang w:bidi="ar-SA"/>
                </w:rPr>
                <m:t>diff</m:t>
              </m:r>
            </m:sub>
          </m:sSub>
          <m:r>
            <w:rPr>
              <w:rFonts w:ascii="Cambria Math" w:hAnsi="Cambria Math"/>
              <w:lang w:bidi="ar-SA"/>
            </w:rPr>
            <m:t xml:space="preserve">= </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m:t>
                  </m:r>
                </m:e>
                <m:sub>
                  <m:r>
                    <w:rPr>
                      <w:rFonts w:ascii="Cambria Math" w:hAnsi="Cambria Math"/>
                      <w:lang w:bidi="ar-SA"/>
                    </w:rPr>
                    <m:t>1</m:t>
                  </m:r>
                </m:sub>
                <m:sup>
                  <m:r>
                    <w:rPr>
                      <w:rFonts w:ascii="Cambria Math" w:hAnsi="Cambria Math"/>
                      <w:lang w:bidi="ar-SA"/>
                    </w:rPr>
                    <m:t>2</m:t>
                  </m:r>
                </m:sup>
              </m:sSubSup>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m:t>
                  </m:r>
                </m:e>
                <m:sub>
                  <m:r>
                    <w:rPr>
                      <w:rFonts w:ascii="Cambria Math" w:hAnsi="Cambria Math"/>
                      <w:lang w:bidi="ar-SA"/>
                    </w:rPr>
                    <m:t>2</m:t>
                  </m:r>
                </m:sub>
                <m:sup>
                  <m:r>
                    <w:rPr>
                      <w:rFonts w:ascii="Cambria Math" w:hAnsi="Cambria Math"/>
                      <w:lang w:bidi="ar-SA"/>
                    </w:rPr>
                    <m:t>2</m:t>
                  </m:r>
                </m:sup>
              </m:sSubSup>
            </m:e>
          </m:rad>
          <m:r>
            <w:rPr>
              <w:rFonts w:ascii="Cambria Math" w:hAnsi="Cambria Math"/>
              <w:lang w:bidi="ar-SA"/>
            </w:rPr>
            <m:t xml:space="preserve">-2 ×r × </m:t>
          </m:r>
          <m:sSub>
            <m:sSubPr>
              <m:ctrlPr>
                <w:rPr>
                  <w:rFonts w:ascii="Cambria Math" w:hAnsi="Cambria Math"/>
                  <w:i/>
                  <w:lang w:bidi="ar-SA"/>
                </w:rPr>
              </m:ctrlPr>
            </m:sSubPr>
            <m:e>
              <m:r>
                <w:rPr>
                  <w:rFonts w:ascii="Cambria Math" w:hAnsi="Cambria Math"/>
                  <w:lang w:bidi="ar-SA"/>
                </w:rPr>
                <m:t>S</m:t>
              </m:r>
            </m:e>
            <m:sub>
              <m:r>
                <w:rPr>
                  <w:rFonts w:ascii="Cambria Math" w:hAnsi="Cambria Math"/>
                  <w:lang w:bidi="ar-SA"/>
                </w:rPr>
                <m:t>1</m:t>
              </m:r>
            </m:sub>
          </m:sSub>
          <m:r>
            <w:rPr>
              <w:rFonts w:ascii="Cambria Math" w:hAnsi="Cambria Math"/>
              <w:lang w:bidi="ar-SA"/>
            </w:rPr>
            <m:t>×</m:t>
          </m:r>
          <m:sSub>
            <m:sSubPr>
              <m:ctrlPr>
                <w:rPr>
                  <w:rFonts w:ascii="Cambria Math" w:hAnsi="Cambria Math"/>
                  <w:i/>
                  <w:lang w:bidi="ar-SA"/>
                </w:rPr>
              </m:ctrlPr>
            </m:sSubPr>
            <m:e>
              <m:r>
                <w:rPr>
                  <w:rFonts w:ascii="Cambria Math" w:hAnsi="Cambria Math"/>
                  <w:lang w:bidi="ar-SA"/>
                </w:rPr>
                <m:t>S</m:t>
              </m:r>
            </m:e>
            <m:sub>
              <m:r>
                <w:rPr>
                  <w:rFonts w:ascii="Cambria Math" w:hAnsi="Cambria Math"/>
                  <w:lang w:bidi="ar-SA"/>
                </w:rPr>
                <m:t>2</m:t>
              </m:r>
            </m:sub>
          </m:sSub>
        </m:oMath>
      </m:oMathPara>
    </w:p>
    <w:p w14:paraId="75BEDDF7" w14:textId="576B3B2D" w:rsidR="003208A4" w:rsidRDefault="003208A4" w:rsidP="003208A4">
      <w:pPr>
        <w:ind w:left="360"/>
        <w:rPr>
          <w:lang w:bidi="ar-SA"/>
        </w:rPr>
      </w:pPr>
      <w:r>
        <w:rPr>
          <w:lang w:bidi="ar-SA"/>
        </w:rPr>
        <w:t xml:space="preserve">where </w:t>
      </w:r>
      <w:r w:rsidRPr="008009D7">
        <w:rPr>
          <w:i/>
          <w:lang w:bidi="ar-SA"/>
        </w:rPr>
        <w:t>S</w:t>
      </w:r>
      <w:r w:rsidRPr="008009D7">
        <w:rPr>
          <w:i/>
          <w:vertAlign w:val="subscript"/>
          <w:lang w:bidi="ar-SA"/>
        </w:rPr>
        <w:t>1</w:t>
      </w:r>
      <w:r>
        <w:rPr>
          <w:lang w:bidi="ar-SA"/>
        </w:rPr>
        <w:t xml:space="preserve"> and </w:t>
      </w:r>
      <w:r w:rsidRPr="008009D7">
        <w:rPr>
          <w:i/>
          <w:lang w:bidi="ar-SA"/>
        </w:rPr>
        <w:t>S</w:t>
      </w:r>
      <w:r w:rsidRPr="008009D7">
        <w:rPr>
          <w:i/>
          <w:vertAlign w:val="subscript"/>
          <w:lang w:bidi="ar-SA"/>
        </w:rPr>
        <w:t>2</w:t>
      </w:r>
      <w:r>
        <w:rPr>
          <w:lang w:bidi="ar-SA"/>
        </w:rPr>
        <w:t xml:space="preserve"> are the sample</w:t>
      </w:r>
      <w:r w:rsidR="00181E95">
        <w:rPr>
          <w:lang w:bidi="ar-SA"/>
        </w:rPr>
        <w:t xml:space="preserve"> </w:t>
      </w:r>
      <w:r>
        <w:rPr>
          <w:lang w:bidi="ar-SA"/>
        </w:rPr>
        <w:t xml:space="preserve">standard deviations </w:t>
      </w:r>
      <w:r w:rsidR="00181E95">
        <w:rPr>
          <w:lang w:bidi="ar-SA"/>
        </w:rPr>
        <w:t xml:space="preserve">at the </w:t>
      </w:r>
      <w:r w:rsidR="007F0E9F">
        <w:rPr>
          <w:lang w:bidi="ar-SA"/>
        </w:rPr>
        <w:t>follow-up time points</w:t>
      </w:r>
      <w:r w:rsidR="00181E95">
        <w:rPr>
          <w:lang w:bidi="ar-SA"/>
        </w:rPr>
        <w:t xml:space="preserve"> of</w:t>
      </w:r>
      <w:r>
        <w:rPr>
          <w:lang w:bidi="ar-SA"/>
        </w:rPr>
        <w:t xml:space="preserve"> the two conditions (intervention and placebo, respectively), </w:t>
      </w:r>
      <w:r>
        <w:rPr>
          <w:i/>
          <w:lang w:bidi="ar-SA"/>
        </w:rPr>
        <w:t xml:space="preserve">r </w:t>
      </w:r>
      <w:r>
        <w:rPr>
          <w:lang w:bidi="ar-SA"/>
        </w:rPr>
        <w:t xml:space="preserve">is the correlation coefficient, and </w:t>
      </w:r>
      <w:r w:rsidRPr="00843307">
        <w:rPr>
          <w:i/>
          <w:lang w:bidi="ar-SA"/>
        </w:rPr>
        <w:t>n</w:t>
      </w:r>
      <w:r>
        <w:rPr>
          <w:lang w:bidi="ar-SA"/>
        </w:rPr>
        <w:t xml:space="preserve"> is the number of pairs.</w:t>
      </w:r>
    </w:p>
    <w:p w14:paraId="365648D0" w14:textId="5B6D134F" w:rsidR="003208A4" w:rsidRPr="00BC039C" w:rsidRDefault="003208A4" w:rsidP="003208A4">
      <w:pPr>
        <w:rPr>
          <w:rFonts w:cs="Arial"/>
          <w:lang w:eastAsia="en-AU"/>
        </w:rPr>
      </w:pPr>
      <w:r w:rsidRPr="00BC039C">
        <w:rPr>
          <w:rFonts w:cs="Arial"/>
          <w:lang w:eastAsia="en-AU"/>
        </w:rPr>
        <w:t xml:space="preserve">A correlation </w:t>
      </w:r>
      <w:r w:rsidRPr="001E0B4D">
        <w:rPr>
          <w:rFonts w:cs="Arial"/>
          <w:lang w:eastAsia="en-AU"/>
        </w:rPr>
        <w:t>coefficient (</w:t>
      </w:r>
      <w:r w:rsidRPr="001E0B4D">
        <w:rPr>
          <w:rFonts w:cs="Arial"/>
          <w:i/>
          <w:lang w:eastAsia="en-AU"/>
        </w:rPr>
        <w:t>r</w:t>
      </w:r>
      <w:r w:rsidRPr="001E0B4D">
        <w:rPr>
          <w:rFonts w:cs="Arial"/>
          <w:lang w:eastAsia="en-AU"/>
        </w:rPr>
        <w:t>) of 0.7</w:t>
      </w:r>
      <w:r w:rsidRPr="00BC039C">
        <w:rPr>
          <w:rFonts w:cs="Arial"/>
          <w:lang w:eastAsia="en-AU"/>
        </w:rPr>
        <w:t xml:space="preserve"> was </w:t>
      </w:r>
      <w:r>
        <w:rPr>
          <w:rFonts w:cs="Arial"/>
          <w:lang w:eastAsia="en-AU"/>
        </w:rPr>
        <w:t>imputed</w:t>
      </w:r>
      <w:r w:rsidRPr="00BC039C">
        <w:rPr>
          <w:rFonts w:cs="Arial"/>
          <w:lang w:eastAsia="en-AU"/>
        </w:rPr>
        <w:t xml:space="preserve"> as the correlation between </w:t>
      </w:r>
      <w:r>
        <w:rPr>
          <w:rFonts w:cs="Arial"/>
          <w:lang w:eastAsia="en-AU"/>
        </w:rPr>
        <w:t xml:space="preserve">intervention and placebo </w:t>
      </w:r>
      <w:r w:rsidR="007F0E9F">
        <w:rPr>
          <w:rFonts w:cs="Arial"/>
          <w:lang w:eastAsia="en-AU"/>
        </w:rPr>
        <w:t>follow-up</w:t>
      </w:r>
      <w:r>
        <w:rPr>
          <w:rFonts w:cs="Arial"/>
          <w:lang w:eastAsia="en-AU"/>
        </w:rPr>
        <w:t xml:space="preserve"> scores for the</w:t>
      </w:r>
      <w:r w:rsidRPr="00BC039C">
        <w:rPr>
          <w:rFonts w:cs="Arial"/>
          <w:lang w:eastAsia="en-AU"/>
        </w:rPr>
        <w:t xml:space="preserve"> </w:t>
      </w:r>
      <w:r>
        <w:rPr>
          <w:rFonts w:cs="Arial"/>
          <w:lang w:eastAsia="en-AU"/>
        </w:rPr>
        <w:t>laxation</w:t>
      </w:r>
      <w:r w:rsidRPr="00BC039C">
        <w:rPr>
          <w:rFonts w:cs="Arial"/>
          <w:lang w:eastAsia="en-AU"/>
        </w:rPr>
        <w:t xml:space="preserve"> </w:t>
      </w:r>
      <w:r>
        <w:rPr>
          <w:rFonts w:cs="Arial"/>
          <w:lang w:eastAsia="en-AU"/>
        </w:rPr>
        <w:t xml:space="preserve">outcomes (stool weight) </w:t>
      </w:r>
      <w:r w:rsidRPr="00BC039C">
        <w:rPr>
          <w:rFonts w:cs="Arial"/>
          <w:lang w:eastAsia="en-AU"/>
        </w:rPr>
        <w:t xml:space="preserve">presented in Table </w:t>
      </w:r>
      <w:r w:rsidR="00A65AE0">
        <w:rPr>
          <w:rFonts w:cs="Arial"/>
          <w:lang w:eastAsia="en-AU"/>
        </w:rPr>
        <w:t>2</w:t>
      </w:r>
      <w:r>
        <w:rPr>
          <w:rFonts w:cs="Arial"/>
          <w:lang w:eastAsia="en-AU"/>
        </w:rPr>
        <w:t xml:space="preserve"> for </w:t>
      </w:r>
      <w:r w:rsidR="00181E95">
        <w:rPr>
          <w:lang w:bidi="ar-SA"/>
        </w:rPr>
        <w:t>Ito et al. (1990)</w:t>
      </w:r>
      <w:r>
        <w:rPr>
          <w:lang w:bidi="ar-SA"/>
        </w:rPr>
        <w:t xml:space="preserve"> and van Dokkum et al. (1999)</w:t>
      </w:r>
      <w:r>
        <w:rPr>
          <w:rFonts w:cs="Arial"/>
          <w:lang w:eastAsia="en-AU"/>
        </w:rPr>
        <w:t xml:space="preserve">. </w:t>
      </w:r>
      <w:r w:rsidRPr="001E0B4D">
        <w:rPr>
          <w:rFonts w:cs="Arial"/>
          <w:lang w:eastAsia="en-AU"/>
        </w:rPr>
        <w:t xml:space="preserve">This value was chosen based on weak evidence from Sakata </w:t>
      </w:r>
      <w:r w:rsidR="0061020E">
        <w:rPr>
          <w:rFonts w:cs="Arial"/>
          <w:lang w:eastAsia="en-AU"/>
        </w:rPr>
        <w:t>and</w:t>
      </w:r>
      <w:r w:rsidRPr="001E0B4D">
        <w:rPr>
          <w:rFonts w:cs="Arial"/>
          <w:lang w:eastAsia="en-AU"/>
        </w:rPr>
        <w:t xml:space="preserve"> Shinbo (2003). van</w:t>
      </w:r>
      <w:r>
        <w:rPr>
          <w:rFonts w:cs="Arial"/>
          <w:lang w:eastAsia="en-AU"/>
        </w:rPr>
        <w:t xml:space="preserve"> Dokkum et al. (1999) also report</w:t>
      </w:r>
      <w:r w:rsidR="00BB6693">
        <w:rPr>
          <w:rFonts w:cs="Arial"/>
          <w:lang w:eastAsia="en-AU"/>
        </w:rPr>
        <w:t xml:space="preserve"> lipid outcomes</w:t>
      </w:r>
      <w:r>
        <w:rPr>
          <w:rFonts w:cs="Arial"/>
          <w:lang w:eastAsia="en-AU"/>
        </w:rPr>
        <w:t xml:space="preserve"> </w:t>
      </w:r>
      <w:r w:rsidR="00BB6693">
        <w:rPr>
          <w:rFonts w:cs="Arial"/>
          <w:lang w:eastAsia="en-AU"/>
        </w:rPr>
        <w:t>(total, LDL-, and HDL-</w:t>
      </w:r>
      <w:r w:rsidRPr="00F139BF">
        <w:rPr>
          <w:rFonts w:cs="Arial"/>
          <w:lang w:eastAsia="en-AU"/>
        </w:rPr>
        <w:t xml:space="preserve">cholesterol, and </w:t>
      </w:r>
      <w:r w:rsidR="000678B3">
        <w:rPr>
          <w:rFonts w:cs="Arial"/>
          <w:szCs w:val="22"/>
        </w:rPr>
        <w:t>trig</w:t>
      </w:r>
      <w:r w:rsidRPr="00F139BF">
        <w:rPr>
          <w:rFonts w:cs="Arial"/>
          <w:szCs w:val="22"/>
        </w:rPr>
        <w:t>l</w:t>
      </w:r>
      <w:r w:rsidR="000678B3">
        <w:rPr>
          <w:rFonts w:cs="Arial"/>
          <w:szCs w:val="22"/>
        </w:rPr>
        <w:t>y</w:t>
      </w:r>
      <w:r w:rsidRPr="00F139BF">
        <w:rPr>
          <w:rFonts w:cs="Arial"/>
          <w:szCs w:val="22"/>
        </w:rPr>
        <w:t>cerides</w:t>
      </w:r>
      <w:r>
        <w:rPr>
          <w:rFonts w:cs="Arial"/>
          <w:szCs w:val="22"/>
        </w:rPr>
        <w:t>,</w:t>
      </w:r>
      <w:r w:rsidRPr="00F139BF">
        <w:rPr>
          <w:rFonts w:cs="Arial"/>
          <w:lang w:eastAsia="en-AU"/>
        </w:rPr>
        <w:t xml:space="preserve"> </w:t>
      </w:r>
      <w:r>
        <w:rPr>
          <w:rFonts w:cs="Arial"/>
          <w:lang w:eastAsia="en-AU"/>
        </w:rPr>
        <w:t xml:space="preserve">presented in Table </w:t>
      </w:r>
      <w:r w:rsidR="00A65AE0">
        <w:rPr>
          <w:rFonts w:cs="Arial"/>
          <w:lang w:eastAsia="en-AU"/>
        </w:rPr>
        <w:t>3</w:t>
      </w:r>
      <w:r>
        <w:rPr>
          <w:rFonts w:cs="Arial"/>
          <w:lang w:eastAsia="en-AU"/>
        </w:rPr>
        <w:t>) and glucose-</w:t>
      </w:r>
      <w:r w:rsidR="00BB6693">
        <w:rPr>
          <w:rFonts w:cs="Arial"/>
          <w:lang w:eastAsia="en-AU"/>
        </w:rPr>
        <w:t>related outcomes</w:t>
      </w:r>
      <w:r>
        <w:rPr>
          <w:rFonts w:cs="Arial"/>
          <w:lang w:eastAsia="en-AU"/>
        </w:rPr>
        <w:t xml:space="preserve"> (glucose, and insulin, presented in Table </w:t>
      </w:r>
      <w:r w:rsidR="00A65AE0">
        <w:rPr>
          <w:rFonts w:cs="Arial"/>
          <w:lang w:eastAsia="en-AU"/>
        </w:rPr>
        <w:t>4</w:t>
      </w:r>
      <w:r>
        <w:rPr>
          <w:rFonts w:cs="Arial"/>
          <w:lang w:eastAsia="en-AU"/>
        </w:rPr>
        <w:t xml:space="preserve">). </w:t>
      </w:r>
      <w:r>
        <w:rPr>
          <w:rFonts w:cs="Arial"/>
          <w:lang w:eastAsia="en-AU"/>
        </w:rPr>
        <w:lastRenderedPageBreak/>
        <w:t xml:space="preserve">For these outcomes </w:t>
      </w:r>
      <w:r>
        <w:rPr>
          <w:rFonts w:cs="Arial"/>
          <w:i/>
          <w:lang w:eastAsia="en-AU"/>
        </w:rPr>
        <w:t>r</w:t>
      </w:r>
      <w:r>
        <w:rPr>
          <w:rFonts w:cs="Arial"/>
          <w:lang w:eastAsia="en-AU"/>
        </w:rPr>
        <w:t>=0.8 (as described by Demonty et al. 2009, and</w:t>
      </w:r>
      <w:r w:rsidRPr="00F139BF">
        <w:rPr>
          <w:rFonts w:cs="Arial"/>
          <w:lang w:eastAsia="en-AU"/>
        </w:rPr>
        <w:t xml:space="preserve"> FSANZ 2010)</w:t>
      </w:r>
      <w:r>
        <w:rPr>
          <w:rFonts w:cs="Arial"/>
          <w:lang w:eastAsia="en-AU"/>
        </w:rPr>
        <w:t xml:space="preserve"> and </w:t>
      </w:r>
      <w:r>
        <w:rPr>
          <w:rFonts w:cs="Arial"/>
          <w:i/>
          <w:lang w:eastAsia="en-AU"/>
        </w:rPr>
        <w:t>r</w:t>
      </w:r>
      <w:r>
        <w:rPr>
          <w:rFonts w:cs="Arial"/>
          <w:lang w:eastAsia="en-AU"/>
        </w:rPr>
        <w:t>=0.6 (</w:t>
      </w:r>
      <w:r w:rsidRPr="00C555E9">
        <w:rPr>
          <w:rFonts w:cs="Arial"/>
          <w:lang w:eastAsia="en-AU"/>
        </w:rPr>
        <w:t>based on unpublished capillary blood glucose data, as described by FSANZ 2016 p.</w:t>
      </w:r>
      <w:r w:rsidR="00545D8D">
        <w:rPr>
          <w:rFonts w:cs="Arial"/>
          <w:lang w:eastAsia="en-AU"/>
        </w:rPr>
        <w:t xml:space="preserve"> </w:t>
      </w:r>
      <w:r w:rsidRPr="00C555E9">
        <w:rPr>
          <w:rFonts w:cs="Arial"/>
          <w:lang w:eastAsia="en-AU"/>
        </w:rPr>
        <w:t>5</w:t>
      </w:r>
      <w:r>
        <w:rPr>
          <w:rFonts w:cs="Arial"/>
          <w:lang w:eastAsia="en-AU"/>
        </w:rPr>
        <w:t>) was imputed, respectively.</w:t>
      </w:r>
    </w:p>
    <w:p w14:paraId="2734259C" w14:textId="77777777" w:rsidR="003208A4" w:rsidRDefault="003208A4" w:rsidP="003208A4">
      <w:pPr>
        <w:rPr>
          <w:lang w:bidi="ar-SA"/>
        </w:rPr>
      </w:pPr>
    </w:p>
    <w:p w14:paraId="1693A78B" w14:textId="7230232D" w:rsidR="003208A4" w:rsidRDefault="003208A4" w:rsidP="003208A4">
      <w:pPr>
        <w:rPr>
          <w:lang w:bidi="ar-SA"/>
        </w:rPr>
      </w:pPr>
      <w:r>
        <w:rPr>
          <w:lang w:bidi="ar-SA"/>
        </w:rPr>
        <w:t>Alles et al. (1999), a parallel study, reported the difference and, therefore, additional calculations were not required for the mean difference (</w:t>
      </w:r>
      <w:r w:rsidRPr="0018747E">
        <w:rPr>
          <w:i/>
          <w:lang w:bidi="ar-SA"/>
        </w:rPr>
        <w:t>D</w:t>
      </w:r>
      <w:r>
        <w:rPr>
          <w:lang w:bidi="ar-SA"/>
        </w:rPr>
        <w:t>). The standard error of the difference, obtained from the reported 95% confidence interval of the difference, was calculated</w:t>
      </w:r>
      <w:r w:rsidR="009F5DFC">
        <w:rPr>
          <w:lang w:bidi="ar-SA"/>
        </w:rPr>
        <w:t>:</w:t>
      </w:r>
    </w:p>
    <w:p w14:paraId="398F391E" w14:textId="77777777" w:rsidR="003208A4" w:rsidRDefault="003208A4" w:rsidP="003208A4">
      <w:pPr>
        <w:ind w:left="360"/>
        <w:rPr>
          <w:lang w:bidi="ar-SA"/>
        </w:rPr>
      </w:pPr>
      <w:r>
        <w:rPr>
          <w:lang w:bidi="ar-SA"/>
        </w:rPr>
        <w:t>The standard error</w:t>
      </w:r>
      <w:r w:rsidRPr="00772994">
        <w:rPr>
          <w:lang w:bidi="ar-SA"/>
        </w:rPr>
        <w:t xml:space="preserve"> </w:t>
      </w:r>
      <w:r>
        <w:rPr>
          <w:lang w:bidi="ar-SA"/>
        </w:rPr>
        <w:t xml:space="preserve">of </w:t>
      </w:r>
      <w:r w:rsidRPr="0018747E">
        <w:rPr>
          <w:i/>
          <w:lang w:bidi="ar-SA"/>
        </w:rPr>
        <w:t>D</w:t>
      </w:r>
      <w:r>
        <w:rPr>
          <w:lang w:bidi="ar-SA"/>
        </w:rPr>
        <w:t xml:space="preserve"> </w:t>
      </w:r>
      <w:r w:rsidRPr="00772994">
        <w:rPr>
          <w:lang w:bidi="ar-SA"/>
        </w:rPr>
        <w:t>i</w:t>
      </w:r>
      <w:r>
        <w:rPr>
          <w:lang w:bidi="ar-SA"/>
        </w:rPr>
        <w:t>s,</w:t>
      </w:r>
    </w:p>
    <w:p w14:paraId="468F0186" w14:textId="77777777" w:rsidR="003208A4" w:rsidRDefault="003208A4" w:rsidP="003208A4">
      <w:pPr>
        <w:ind w:left="360"/>
        <w:jc w:val="right"/>
        <w:rPr>
          <w:lang w:bidi="ar-SA"/>
        </w:rPr>
      </w:pPr>
      <w:r>
        <w:rPr>
          <w:lang w:bidi="ar-SA"/>
        </w:rPr>
        <w:t>(5)</w:t>
      </w:r>
    </w:p>
    <w:p w14:paraId="773A5269" w14:textId="77777777" w:rsidR="003208A4"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D</m:t>
              </m:r>
            </m:sub>
          </m:sSub>
          <m:r>
            <w:rPr>
              <w:rFonts w:ascii="Cambria Math" w:hAnsi="Cambria Math"/>
              <w:lang w:bidi="ar-SA"/>
            </w:rPr>
            <m:t>=</m:t>
          </m:r>
          <m:f>
            <m:fPr>
              <m:ctrlPr>
                <w:rPr>
                  <w:rFonts w:ascii="Cambria Math" w:hAnsi="Cambria Math"/>
                  <w:i/>
                  <w:lang w:bidi="ar-SA"/>
                </w:rPr>
              </m:ctrlPr>
            </m:fPr>
            <m:num>
              <m:d>
                <m:dPr>
                  <m:ctrlPr>
                    <w:rPr>
                      <w:rFonts w:ascii="Cambria Math" w:hAnsi="Cambria Math"/>
                      <w:i/>
                      <w:lang w:bidi="ar-SA"/>
                    </w:rPr>
                  </m:ctrlPr>
                </m:dPr>
                <m:e>
                  <m:r>
                    <w:rPr>
                      <w:rFonts w:ascii="Cambria Math" w:hAnsi="Cambria Math"/>
                      <w:lang w:bidi="ar-SA"/>
                    </w:rPr>
                    <m:t>upper limit-lower limit</m:t>
                  </m:r>
                </m:e>
              </m:d>
            </m:num>
            <m:den>
              <m:r>
                <w:rPr>
                  <w:rFonts w:ascii="Cambria Math" w:hAnsi="Cambria Math"/>
                  <w:lang w:bidi="ar-SA"/>
                </w:rPr>
                <m:t>3.92</m:t>
              </m:r>
            </m:den>
          </m:f>
        </m:oMath>
      </m:oMathPara>
    </w:p>
    <w:p w14:paraId="13787318" w14:textId="77777777" w:rsidR="003208A4" w:rsidRDefault="003208A4" w:rsidP="003208A4">
      <w:pPr>
        <w:rPr>
          <w:lang w:bidi="ar-SA"/>
        </w:rPr>
      </w:pPr>
    </w:p>
    <w:p w14:paraId="0EE41765" w14:textId="03B98332" w:rsidR="003208A4" w:rsidRDefault="003208A4" w:rsidP="003208A4">
      <w:pPr>
        <w:rPr>
          <w:lang w:bidi="ar-SA"/>
        </w:rPr>
      </w:pPr>
      <w:r>
        <w:rPr>
          <w:lang w:bidi="ar-SA"/>
        </w:rPr>
        <w:t xml:space="preserve">To convert the absolute difference in stool weight (mean </w:t>
      </w:r>
      <w:r>
        <w:rPr>
          <w:rFonts w:cs="Arial"/>
          <w:lang w:bidi="ar-SA"/>
        </w:rPr>
        <w:t>±</w:t>
      </w:r>
      <w:r>
        <w:rPr>
          <w:lang w:bidi="ar-SA"/>
        </w:rPr>
        <w:t xml:space="preserve"> SE; g/day) to a value relative to the </w:t>
      </w:r>
      <w:r w:rsidR="00C92EF1">
        <w:rPr>
          <w:lang w:bidi="ar-SA"/>
        </w:rPr>
        <w:t>GOS</w:t>
      </w:r>
      <w:r>
        <w:rPr>
          <w:lang w:bidi="ar-SA"/>
        </w:rPr>
        <w:t xml:space="preserve"> consumed (g/day per GOS gram), the mean difference and its standard error were both divided by the </w:t>
      </w:r>
      <w:r w:rsidR="00C92EF1">
        <w:rPr>
          <w:lang w:bidi="ar-SA"/>
        </w:rPr>
        <w:t>GOS</w:t>
      </w:r>
      <w:r>
        <w:rPr>
          <w:lang w:bidi="ar-SA"/>
        </w:rPr>
        <w:t xml:space="preserve"> </w:t>
      </w:r>
      <w:r w:rsidR="00BB6F18">
        <w:rPr>
          <w:lang w:bidi="ar-SA"/>
        </w:rPr>
        <w:t>intake</w:t>
      </w:r>
      <w:r>
        <w:rPr>
          <w:lang w:bidi="ar-SA"/>
        </w:rPr>
        <w:t xml:space="preserve"> level (g/day) used in the intervention condition. This approach was applied to all three studies: Ito et al. (1990); van Dokkum et al. (1999); and, Alles et al. (1999).</w:t>
      </w:r>
    </w:p>
    <w:p w14:paraId="5F622F98" w14:textId="77777777" w:rsidR="003208A4" w:rsidRDefault="003208A4" w:rsidP="003208A4">
      <w:pPr>
        <w:rPr>
          <w:lang w:bidi="ar-SA"/>
        </w:rPr>
      </w:pPr>
    </w:p>
    <w:p w14:paraId="54C8B302" w14:textId="04592663" w:rsidR="003208A4" w:rsidRDefault="003208A4" w:rsidP="003208A4">
      <w:pPr>
        <w:rPr>
          <w:lang w:bidi="ar-SA"/>
        </w:rPr>
      </w:pPr>
      <w:r>
        <w:rPr>
          <w:lang w:bidi="ar-SA"/>
        </w:rPr>
        <w:t xml:space="preserve">Two crossover studies (Vulevic et al. 2008, and Vulevic et al. 2013) reported the mean and standard deviation at both baseline and </w:t>
      </w:r>
      <w:r w:rsidR="007F0E9F">
        <w:rPr>
          <w:lang w:bidi="ar-SA"/>
        </w:rPr>
        <w:t>follow-up</w:t>
      </w:r>
      <w:r>
        <w:rPr>
          <w:lang w:bidi="ar-SA"/>
        </w:rPr>
        <w:t>. The mean difference was calculated as:</w:t>
      </w:r>
    </w:p>
    <w:p w14:paraId="328836EF" w14:textId="77777777" w:rsidR="003208A4" w:rsidRDefault="003208A4" w:rsidP="003208A4">
      <w:pPr>
        <w:jc w:val="right"/>
        <w:rPr>
          <w:lang w:bidi="ar-SA"/>
        </w:rPr>
      </w:pPr>
      <w:r>
        <w:rPr>
          <w:lang w:bidi="ar-SA"/>
        </w:rPr>
        <w:t>(6)</w:t>
      </w:r>
    </w:p>
    <w:p w14:paraId="2EB0352F" w14:textId="45D6A2AF" w:rsidR="003208A4" w:rsidRDefault="003208A4" w:rsidP="003208A4">
      <w:pPr>
        <w:rPr>
          <w:lang w:bidi="ar-SA"/>
        </w:rPr>
      </w:pPr>
      <m:oMathPara>
        <m:oMath>
          <m:r>
            <w:rPr>
              <w:rFonts w:ascii="Cambria Math" w:hAnsi="Cambria Math"/>
              <w:lang w:bidi="ar-SA"/>
            </w:rPr>
            <m:t>D=</m:t>
          </m:r>
          <m:sSub>
            <m:sSubPr>
              <m:ctrlPr>
                <w:rPr>
                  <w:rFonts w:ascii="Cambria Math" w:hAnsi="Cambria Math"/>
                  <w:i/>
                  <w:lang w:bidi="ar-SA"/>
                </w:rPr>
              </m:ctrlPr>
            </m:sSubPr>
            <m:e>
              <m:r>
                <w:rPr>
                  <w:rFonts w:ascii="Cambria Math" w:hAnsi="Cambria Math"/>
                  <w:lang w:bidi="ar-SA"/>
                </w:rPr>
                <m:t>(mean</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sSub>
                <m:sSubPr>
                  <m:ctrlPr>
                    <w:rPr>
                      <w:rFonts w:ascii="Cambria Math" w:hAnsi="Cambria Math"/>
                      <w:i/>
                      <w:lang w:bidi="ar-SA"/>
                    </w:rPr>
                  </m:ctrlPr>
                </m:sSubPr>
                <m:e>
                  <m:r>
                    <w:rPr>
                      <w:rFonts w:ascii="Cambria Math" w:hAnsi="Cambria Math"/>
                      <w:lang w:bidi="ar-SA"/>
                    </w:rPr>
                    <m:t>mean</m:t>
                  </m:r>
                </m:e>
                <m:sub>
                  <m:d>
                    <m:dPr>
                      <m:ctrlPr>
                        <w:rPr>
                          <w:rFonts w:ascii="Cambria Math" w:hAnsi="Cambria Math"/>
                          <w:i/>
                          <w:lang w:bidi="ar-SA"/>
                        </w:rPr>
                      </m:ctrlPr>
                    </m:dPr>
                    <m:e>
                      <m:r>
                        <w:rPr>
                          <w:rFonts w:ascii="Cambria Math" w:hAnsi="Cambria Math"/>
                          <w:lang w:bidi="ar-SA"/>
                        </w:rPr>
                        <m:t>intervention baseline</m:t>
                      </m:r>
                    </m:e>
                  </m:d>
                </m:sub>
              </m:sSub>
              <m:r>
                <w:rPr>
                  <w:rFonts w:ascii="Cambria Math" w:hAnsi="Cambria Math"/>
                  <w:lang w:bidi="ar-SA"/>
                </w:rPr>
                <m:t>)-(mean</m:t>
              </m:r>
            </m:e>
            <m:sub>
              <m:d>
                <m:dPr>
                  <m:ctrlPr>
                    <w:rPr>
                      <w:rFonts w:ascii="Cambria Math" w:hAnsi="Cambria Math"/>
                      <w:i/>
                      <w:lang w:bidi="ar-SA"/>
                    </w:rPr>
                  </m:ctrlPr>
                </m:dPr>
                <m:e>
                  <m:r>
                    <w:rPr>
                      <w:rFonts w:ascii="Cambria Math" w:hAnsi="Cambria Math"/>
                      <w:lang w:bidi="ar-SA"/>
                    </w:rPr>
                    <m:t>placebo follow-up</m:t>
                  </m:r>
                </m:e>
              </m:d>
            </m:sub>
          </m:sSub>
          <m:sSub>
            <m:sSubPr>
              <m:ctrlPr>
                <w:rPr>
                  <w:rFonts w:ascii="Cambria Math" w:hAnsi="Cambria Math"/>
                  <w:i/>
                  <w:lang w:bidi="ar-SA"/>
                </w:rPr>
              </m:ctrlPr>
            </m:sSubPr>
            <m:e>
              <m:r>
                <w:rPr>
                  <w:rFonts w:ascii="Cambria Math" w:hAnsi="Cambria Math"/>
                  <w:lang w:bidi="ar-SA"/>
                </w:rPr>
                <m:t xml:space="preserve"> - mean</m:t>
              </m:r>
            </m:e>
            <m:sub>
              <m:d>
                <m:dPr>
                  <m:ctrlPr>
                    <w:rPr>
                      <w:rFonts w:ascii="Cambria Math" w:hAnsi="Cambria Math"/>
                      <w:i/>
                      <w:lang w:bidi="ar-SA"/>
                    </w:rPr>
                  </m:ctrlPr>
                </m:dPr>
                <m:e>
                  <m:r>
                    <w:rPr>
                      <w:rFonts w:ascii="Cambria Math" w:hAnsi="Cambria Math"/>
                      <w:lang w:bidi="ar-SA"/>
                    </w:rPr>
                    <m:t>placebo baseline</m:t>
                  </m:r>
                </m:e>
              </m:d>
            </m:sub>
          </m:sSub>
          <m:r>
            <w:rPr>
              <w:rFonts w:ascii="Cambria Math" w:hAnsi="Cambria Math"/>
              <w:lang w:bidi="ar-SA"/>
            </w:rPr>
            <m:t>)</m:t>
          </m:r>
        </m:oMath>
      </m:oMathPara>
    </w:p>
    <w:p w14:paraId="38F5150E" w14:textId="77777777" w:rsidR="003208A4" w:rsidRDefault="003208A4" w:rsidP="003208A4">
      <w:pPr>
        <w:rPr>
          <w:lang w:bidi="ar-SA"/>
        </w:rPr>
      </w:pPr>
    </w:p>
    <w:p w14:paraId="2D3590C8" w14:textId="77777777" w:rsidR="003208A4" w:rsidRDefault="003208A4" w:rsidP="003208A4">
      <w:pPr>
        <w:rPr>
          <w:lang w:bidi="ar-SA"/>
        </w:rPr>
      </w:pPr>
      <w:r>
        <w:rPr>
          <w:lang w:bidi="ar-SA"/>
        </w:rPr>
        <w:t>For these crossover studies (Vulevic et al. 2008, and Vulevic et al. 2013), the standard error of the difference between groups</w:t>
      </w:r>
      <w:r w:rsidRPr="00DF3A99">
        <w:rPr>
          <w:lang w:bidi="ar-SA"/>
        </w:rPr>
        <w:t xml:space="preserve"> </w:t>
      </w:r>
      <w:r>
        <w:rPr>
          <w:lang w:bidi="ar-SA"/>
        </w:rPr>
        <w:t>over time (</w:t>
      </w:r>
      <w:r w:rsidRPr="00DF3A99">
        <w:rPr>
          <w:i/>
          <w:lang w:bidi="ar-SA"/>
        </w:rPr>
        <w:t>SE</w:t>
      </w:r>
      <w:r w:rsidRPr="00DF3A99">
        <w:rPr>
          <w:i/>
          <w:vertAlign w:val="subscript"/>
          <w:lang w:bidi="ar-SA"/>
        </w:rPr>
        <w:t>D</w:t>
      </w:r>
      <w:r>
        <w:rPr>
          <w:lang w:bidi="ar-SA"/>
        </w:rPr>
        <w:t>) was calculated as:</w:t>
      </w:r>
    </w:p>
    <w:p w14:paraId="7B000233" w14:textId="77777777" w:rsidR="003208A4" w:rsidRDefault="003208A4" w:rsidP="003208A4">
      <w:pPr>
        <w:ind w:left="360"/>
        <w:rPr>
          <w:lang w:bidi="ar-SA"/>
        </w:rPr>
      </w:pPr>
      <w:r w:rsidRPr="005710EA">
        <w:rPr>
          <w:lang w:bidi="ar-SA"/>
        </w:rPr>
        <w:t xml:space="preserve">The standard error of </w:t>
      </w:r>
      <w:r w:rsidRPr="005710EA">
        <w:rPr>
          <w:i/>
          <w:lang w:bidi="ar-SA"/>
        </w:rPr>
        <w:t>D</w:t>
      </w:r>
      <w:r w:rsidRPr="005710EA">
        <w:rPr>
          <w:lang w:bidi="ar-SA"/>
        </w:rPr>
        <w:t xml:space="preserve"> is,</w:t>
      </w:r>
    </w:p>
    <w:p w14:paraId="4A614B8C" w14:textId="77777777" w:rsidR="003208A4" w:rsidRPr="005710EA" w:rsidRDefault="003208A4" w:rsidP="003208A4">
      <w:pPr>
        <w:ind w:left="360"/>
        <w:jc w:val="right"/>
        <w:rPr>
          <w:lang w:bidi="ar-SA"/>
        </w:rPr>
      </w:pPr>
      <w:r>
        <w:rPr>
          <w:lang w:bidi="ar-SA"/>
        </w:rPr>
        <w:t>(7)</w:t>
      </w:r>
    </w:p>
    <w:p w14:paraId="119C1ECA" w14:textId="77777777" w:rsidR="003208A4" w:rsidRPr="005710EA"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D</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1</m:t>
                  </m:r>
                </m:sub>
                <m:sup>
                  <m:r>
                    <w:rPr>
                      <w:rFonts w:ascii="Cambria Math" w:hAnsi="Cambria Math"/>
                      <w:lang w:bidi="ar-SA"/>
                    </w:rPr>
                    <m:t>2</m:t>
                  </m:r>
                </m:sup>
              </m:sSubSup>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2</m:t>
                  </m:r>
                </m:sub>
                <m:sup>
                  <m:r>
                    <w:rPr>
                      <w:rFonts w:ascii="Cambria Math" w:hAnsi="Cambria Math"/>
                      <w:lang w:bidi="ar-SA"/>
                    </w:rPr>
                    <m:t>2</m:t>
                  </m:r>
                </m:sup>
              </m:sSubSup>
            </m:e>
          </m:rad>
        </m:oMath>
      </m:oMathPara>
    </w:p>
    <w:p w14:paraId="2D55F88F" w14:textId="410BE3E0" w:rsidR="003208A4" w:rsidRDefault="003208A4" w:rsidP="003208A4">
      <w:pPr>
        <w:ind w:left="360"/>
        <w:rPr>
          <w:lang w:bidi="ar-SA"/>
        </w:rPr>
      </w:pPr>
      <w:r w:rsidRPr="005710EA">
        <w:rPr>
          <w:lang w:bidi="ar-SA"/>
        </w:rPr>
        <w:t xml:space="preserve">where </w:t>
      </w:r>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1</m:t>
            </m:r>
          </m:sub>
        </m:sSub>
      </m:oMath>
      <w:r w:rsidRPr="005710EA">
        <w:rPr>
          <w:lang w:bidi="ar-SA"/>
        </w:rPr>
        <w:t xml:space="preserve"> </w:t>
      </w:r>
      <w:r>
        <w:rPr>
          <w:lang w:bidi="ar-SA"/>
        </w:rPr>
        <w:t xml:space="preserve">and </w:t>
      </w:r>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2</m:t>
            </m:r>
          </m:sub>
        </m:sSub>
      </m:oMath>
      <w:r w:rsidRPr="005710EA">
        <w:rPr>
          <w:lang w:bidi="ar-SA"/>
        </w:rPr>
        <w:t xml:space="preserve"> </w:t>
      </w:r>
      <w:r>
        <w:rPr>
          <w:lang w:bidi="ar-SA"/>
        </w:rPr>
        <w:t xml:space="preserve">are the sample standard errors of the change over time (from baseline to </w:t>
      </w:r>
      <w:r w:rsidR="007F0E9F">
        <w:rPr>
          <w:lang w:bidi="ar-SA"/>
        </w:rPr>
        <w:t>follow-up</w:t>
      </w:r>
      <w:r>
        <w:rPr>
          <w:lang w:bidi="ar-SA"/>
        </w:rPr>
        <w:t>) for the intervention and placebo conditions, respectively, and are calculated as:</w:t>
      </w:r>
    </w:p>
    <w:p w14:paraId="562D633C" w14:textId="77777777" w:rsidR="003208A4" w:rsidRPr="005710EA" w:rsidRDefault="003208A4" w:rsidP="003208A4">
      <w:pPr>
        <w:ind w:left="360"/>
        <w:jc w:val="right"/>
        <w:rPr>
          <w:lang w:bidi="ar-SA"/>
        </w:rPr>
      </w:pPr>
      <w:r>
        <w:rPr>
          <w:lang w:bidi="ar-SA"/>
        </w:rPr>
        <w:t>(8)</w:t>
      </w:r>
    </w:p>
    <w:p w14:paraId="2644D41C" w14:textId="77777777" w:rsidR="003208A4" w:rsidRPr="005710EA" w:rsidRDefault="00C342D7" w:rsidP="003208A4">
      <w:pPr>
        <w:ind w:left="360"/>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1</m:t>
              </m:r>
            </m:sub>
          </m:sSub>
          <m:r>
            <w:rPr>
              <w:rFonts w:ascii="Cambria Math" w:hAnsi="Cambria Math"/>
              <w:lang w:bidi="ar-SA"/>
            </w:rPr>
            <m:t xml:space="preserve">= </m:t>
          </m:r>
          <m:f>
            <m:fPr>
              <m:ctrlPr>
                <w:rPr>
                  <w:rFonts w:ascii="Cambria Math" w:hAnsi="Cambria Math"/>
                  <w:i/>
                  <w:lang w:bidi="ar-SA"/>
                </w:rPr>
              </m:ctrlPr>
            </m:fPr>
            <m:num>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Intervention</m:t>
                  </m:r>
                </m:sub>
              </m:sSub>
            </m:num>
            <m:den>
              <m:rad>
                <m:radPr>
                  <m:degHide m:val="1"/>
                  <m:ctrlPr>
                    <w:rPr>
                      <w:rFonts w:ascii="Cambria Math" w:hAnsi="Cambria Math"/>
                      <w:i/>
                      <w:lang w:bidi="ar-SA"/>
                    </w:rPr>
                  </m:ctrlPr>
                </m:radPr>
                <m:deg/>
                <m:e>
                  <m:sSub>
                    <m:sSubPr>
                      <m:ctrlPr>
                        <w:rPr>
                          <w:rFonts w:ascii="Cambria Math" w:hAnsi="Cambria Math"/>
                          <w:i/>
                          <w:lang w:bidi="ar-SA"/>
                        </w:rPr>
                      </m:ctrlPr>
                    </m:sSubPr>
                    <m:e>
                      <m:r>
                        <w:rPr>
                          <w:rFonts w:ascii="Cambria Math" w:hAnsi="Cambria Math"/>
                          <w:lang w:bidi="ar-SA"/>
                        </w:rPr>
                        <m:t>n</m:t>
                      </m:r>
                    </m:e>
                    <m:sub>
                      <m:r>
                        <w:rPr>
                          <w:rFonts w:ascii="Cambria Math" w:hAnsi="Cambria Math"/>
                          <w:lang w:bidi="ar-SA"/>
                        </w:rPr>
                        <m:t>Intervention</m:t>
                      </m:r>
                    </m:sub>
                  </m:sSub>
                </m:e>
              </m:rad>
            </m:den>
          </m:f>
        </m:oMath>
      </m:oMathPara>
    </w:p>
    <w:p w14:paraId="3989EB72" w14:textId="77777777" w:rsidR="003208A4" w:rsidRPr="005710EA" w:rsidRDefault="003208A4" w:rsidP="003208A4">
      <w:pPr>
        <w:ind w:left="360"/>
        <w:rPr>
          <w:lang w:bidi="ar-SA"/>
        </w:rPr>
      </w:pPr>
    </w:p>
    <w:p w14:paraId="7B1A53DF" w14:textId="77777777" w:rsidR="003208A4" w:rsidRDefault="003208A4" w:rsidP="003208A4">
      <w:pPr>
        <w:ind w:left="360"/>
        <w:rPr>
          <w:lang w:bidi="ar-SA"/>
        </w:rPr>
      </w:pPr>
      <w:r>
        <w:rPr>
          <w:lang w:bidi="ar-SA"/>
        </w:rPr>
        <w:t>and</w:t>
      </w:r>
      <w:r w:rsidRPr="005710EA">
        <w:rPr>
          <w:lang w:bidi="ar-SA"/>
        </w:rPr>
        <w:t>,</w:t>
      </w:r>
    </w:p>
    <w:p w14:paraId="3C107B96" w14:textId="77777777" w:rsidR="003208A4" w:rsidRPr="005710EA" w:rsidRDefault="003208A4" w:rsidP="003208A4">
      <w:pPr>
        <w:ind w:left="360"/>
        <w:jc w:val="right"/>
        <w:rPr>
          <w:lang w:bidi="ar-SA"/>
        </w:rPr>
      </w:pPr>
      <w:r>
        <w:rPr>
          <w:lang w:bidi="ar-SA"/>
        </w:rPr>
        <w:t>(9)</w:t>
      </w:r>
    </w:p>
    <w:p w14:paraId="5F6200C8" w14:textId="77777777" w:rsidR="003208A4" w:rsidRPr="005710EA" w:rsidRDefault="00C342D7" w:rsidP="003208A4">
      <w:pPr>
        <w:ind w:left="360"/>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2</m:t>
              </m:r>
            </m:sub>
          </m:sSub>
          <m:r>
            <w:rPr>
              <w:rFonts w:ascii="Cambria Math" w:hAnsi="Cambria Math"/>
              <w:lang w:bidi="ar-SA"/>
            </w:rPr>
            <m:t xml:space="preserve">= </m:t>
          </m:r>
          <m:f>
            <m:fPr>
              <m:ctrlPr>
                <w:rPr>
                  <w:rFonts w:ascii="Cambria Math" w:hAnsi="Cambria Math"/>
                  <w:i/>
                  <w:lang w:bidi="ar-SA"/>
                </w:rPr>
              </m:ctrlPr>
            </m:fPr>
            <m:num>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Placebo</m:t>
                  </m:r>
                </m:sub>
              </m:sSub>
            </m:num>
            <m:den>
              <m:rad>
                <m:radPr>
                  <m:degHide m:val="1"/>
                  <m:ctrlPr>
                    <w:rPr>
                      <w:rFonts w:ascii="Cambria Math" w:hAnsi="Cambria Math"/>
                      <w:i/>
                      <w:lang w:bidi="ar-SA"/>
                    </w:rPr>
                  </m:ctrlPr>
                </m:radPr>
                <m:deg/>
                <m:e>
                  <m:sSub>
                    <m:sSubPr>
                      <m:ctrlPr>
                        <w:rPr>
                          <w:rFonts w:ascii="Cambria Math" w:hAnsi="Cambria Math"/>
                          <w:i/>
                          <w:lang w:bidi="ar-SA"/>
                        </w:rPr>
                      </m:ctrlPr>
                    </m:sSubPr>
                    <m:e>
                      <m:r>
                        <w:rPr>
                          <w:rFonts w:ascii="Cambria Math" w:hAnsi="Cambria Math"/>
                          <w:lang w:bidi="ar-SA"/>
                        </w:rPr>
                        <m:t>n</m:t>
                      </m:r>
                    </m:e>
                    <m:sub>
                      <m:r>
                        <w:rPr>
                          <w:rFonts w:ascii="Cambria Math" w:hAnsi="Cambria Math"/>
                          <w:lang w:bidi="ar-SA"/>
                        </w:rPr>
                        <m:t>Placebo</m:t>
                      </m:r>
                    </m:sub>
                  </m:sSub>
                </m:e>
              </m:rad>
            </m:den>
          </m:f>
        </m:oMath>
      </m:oMathPara>
    </w:p>
    <w:p w14:paraId="4DC4E9F3" w14:textId="77777777" w:rsidR="003208A4" w:rsidRDefault="003208A4" w:rsidP="003208A4">
      <w:pPr>
        <w:ind w:left="360"/>
        <w:rPr>
          <w:lang w:bidi="ar-SA"/>
        </w:rPr>
      </w:pPr>
    </w:p>
    <w:p w14:paraId="164FDB55" w14:textId="1C4A5042" w:rsidR="003208A4" w:rsidRDefault="003208A4" w:rsidP="003208A4">
      <w:pPr>
        <w:ind w:left="360"/>
        <w:rPr>
          <w:lang w:bidi="ar-SA"/>
        </w:rPr>
      </w:pPr>
      <w:r w:rsidRPr="00671876">
        <w:rPr>
          <w:lang w:bidi="ar-SA"/>
        </w:rPr>
        <w:t xml:space="preserve">where </w:t>
      </w:r>
      <m:oMath>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Intervention</m:t>
            </m:r>
          </m:sub>
        </m:sSub>
      </m:oMath>
      <w:r>
        <w:rPr>
          <w:lang w:bidi="ar-SA"/>
        </w:rPr>
        <w:t xml:space="preserve"> and </w:t>
      </w:r>
      <m:oMath>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Placebo</m:t>
            </m:r>
          </m:sub>
        </m:sSub>
      </m:oMath>
      <w:r>
        <w:rPr>
          <w:lang w:bidi="ar-SA"/>
        </w:rPr>
        <w:t xml:space="preserve"> are the sample standard deviations of the change over time (from baseline to </w:t>
      </w:r>
      <w:r w:rsidR="007F0E9F">
        <w:rPr>
          <w:lang w:bidi="ar-SA"/>
        </w:rPr>
        <w:t>follow-up</w:t>
      </w:r>
      <w:r>
        <w:rPr>
          <w:lang w:bidi="ar-SA"/>
        </w:rPr>
        <w:t>) for the intervention and placebo conditions, respectively, and are calculated as:</w:t>
      </w:r>
    </w:p>
    <w:p w14:paraId="109E0D5F" w14:textId="77777777" w:rsidR="003208A4" w:rsidRPr="00671876" w:rsidRDefault="003208A4" w:rsidP="003208A4">
      <w:pPr>
        <w:ind w:left="360"/>
        <w:jc w:val="right"/>
        <w:rPr>
          <w:lang w:bidi="ar-SA"/>
        </w:rPr>
      </w:pPr>
      <w:r>
        <w:rPr>
          <w:lang w:bidi="ar-SA"/>
        </w:rPr>
        <w:t>(10)</w:t>
      </w:r>
    </w:p>
    <w:p w14:paraId="1A739F8D" w14:textId="6A24529A" w:rsidR="003208A4" w:rsidRPr="00671876"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Intervention</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SD</m:t>
                  </m:r>
                </m:e>
                <m:sub>
                  <m:r>
                    <w:rPr>
                      <w:rFonts w:ascii="Cambria Math" w:hAnsi="Cambria Math"/>
                      <w:lang w:bidi="ar-SA"/>
                    </w:rPr>
                    <m:t>(intervention follow-up)</m:t>
                  </m:r>
                </m:sub>
                <m:sup>
                  <m:r>
                    <w:rPr>
                      <w:rFonts w:ascii="Cambria Math" w:hAnsi="Cambria Math"/>
                      <w:lang w:bidi="ar-SA"/>
                    </w:rPr>
                    <m:t>2</m:t>
                  </m:r>
                </m:sup>
              </m:sSubSup>
            </m:e>
          </m:rad>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SD</m:t>
              </m:r>
            </m:e>
            <m:sub>
              <m:r>
                <w:rPr>
                  <w:rFonts w:ascii="Cambria Math" w:hAnsi="Cambria Math"/>
                  <w:lang w:bidi="ar-SA"/>
                </w:rPr>
                <m:t>(intervention baseline)</m:t>
              </m:r>
            </m:sub>
            <m:sup>
              <m:r>
                <w:rPr>
                  <w:rFonts w:ascii="Cambria Math" w:hAnsi="Cambria Math"/>
                  <w:lang w:bidi="ar-SA"/>
                </w:rPr>
                <m:t>2</m:t>
              </m:r>
            </m:sup>
          </m:sSubSup>
          <m:r>
            <w:rPr>
              <w:rFonts w:ascii="Cambria Math" w:hAnsi="Cambria Math"/>
              <w:lang w:bidi="ar-SA"/>
            </w:rPr>
            <m:t xml:space="preserve">-2 ×r × </m:t>
          </m:r>
          <m:sSub>
            <m:sSubPr>
              <m:ctrlPr>
                <w:rPr>
                  <w:rFonts w:ascii="Cambria Math" w:hAnsi="Cambria Math"/>
                  <w:i/>
                  <w:lang w:bidi="ar-SA"/>
                </w:rPr>
              </m:ctrlPr>
            </m:sSubPr>
            <m:e>
              <m:r>
                <w:rPr>
                  <w:rFonts w:ascii="Cambria Math" w:hAnsi="Cambria Math"/>
                  <w:lang w:bidi="ar-SA"/>
                </w:rPr>
                <m:t>SD</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(intervention baseline)</m:t>
              </m:r>
            </m:sub>
          </m:sSub>
        </m:oMath>
      </m:oMathPara>
    </w:p>
    <w:p w14:paraId="60BC93E0" w14:textId="77777777" w:rsidR="003208A4" w:rsidRDefault="003208A4" w:rsidP="003208A4">
      <w:pPr>
        <w:ind w:left="360"/>
        <w:rPr>
          <w:lang w:bidi="ar-SA"/>
        </w:rPr>
      </w:pPr>
    </w:p>
    <w:p w14:paraId="3D81E64C" w14:textId="77777777" w:rsidR="003208A4" w:rsidRPr="00671876" w:rsidRDefault="003208A4" w:rsidP="003208A4">
      <w:pPr>
        <w:ind w:left="360"/>
        <w:jc w:val="right"/>
        <w:rPr>
          <w:lang w:bidi="ar-SA"/>
        </w:rPr>
      </w:pPr>
      <w:r>
        <w:rPr>
          <w:lang w:bidi="ar-SA"/>
        </w:rPr>
        <w:t>(11)</w:t>
      </w:r>
    </w:p>
    <w:p w14:paraId="3B6CB6FE" w14:textId="1B4B3A00" w:rsidR="003208A4" w:rsidRPr="00671876"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Placebo</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SD</m:t>
                  </m:r>
                </m:e>
                <m:sub>
                  <m:r>
                    <w:rPr>
                      <w:rFonts w:ascii="Cambria Math" w:hAnsi="Cambria Math"/>
                      <w:lang w:bidi="ar-SA"/>
                    </w:rPr>
                    <m:t>(placebo follow-up)</m:t>
                  </m:r>
                </m:sub>
                <m:sup>
                  <m:r>
                    <w:rPr>
                      <w:rFonts w:ascii="Cambria Math" w:hAnsi="Cambria Math"/>
                      <w:lang w:bidi="ar-SA"/>
                    </w:rPr>
                    <m:t>2</m:t>
                  </m:r>
                </m:sup>
              </m:sSubSup>
            </m:e>
          </m:rad>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SD</m:t>
              </m:r>
            </m:e>
            <m:sub>
              <m:r>
                <w:rPr>
                  <w:rFonts w:ascii="Cambria Math" w:hAnsi="Cambria Math"/>
                  <w:lang w:bidi="ar-SA"/>
                </w:rPr>
                <m:t>(placebo baseline)</m:t>
              </m:r>
            </m:sub>
            <m:sup>
              <m:r>
                <w:rPr>
                  <w:rFonts w:ascii="Cambria Math" w:hAnsi="Cambria Math"/>
                  <w:lang w:bidi="ar-SA"/>
                </w:rPr>
                <m:t>2</m:t>
              </m:r>
            </m:sup>
          </m:sSubSup>
          <m:r>
            <w:rPr>
              <w:rFonts w:ascii="Cambria Math" w:hAnsi="Cambria Math"/>
              <w:lang w:bidi="ar-SA"/>
            </w:rPr>
            <m:t xml:space="preserve">-2 ×r× </m:t>
          </m:r>
          <m:sSub>
            <m:sSubPr>
              <m:ctrlPr>
                <w:rPr>
                  <w:rFonts w:ascii="Cambria Math" w:hAnsi="Cambria Math"/>
                  <w:i/>
                  <w:lang w:bidi="ar-SA"/>
                </w:rPr>
              </m:ctrlPr>
            </m:sSubPr>
            <m:e>
              <m:r>
                <w:rPr>
                  <w:rFonts w:ascii="Cambria Math" w:hAnsi="Cambria Math"/>
                  <w:lang w:bidi="ar-SA"/>
                </w:rPr>
                <m:t>SD</m:t>
              </m:r>
            </m:e>
            <m:sub>
              <m:d>
                <m:dPr>
                  <m:ctrlPr>
                    <w:rPr>
                      <w:rFonts w:ascii="Cambria Math" w:hAnsi="Cambria Math"/>
                      <w:i/>
                      <w:lang w:bidi="ar-SA"/>
                    </w:rPr>
                  </m:ctrlPr>
                </m:dPr>
                <m:e>
                  <m:r>
                    <w:rPr>
                      <w:rFonts w:ascii="Cambria Math" w:hAnsi="Cambria Math"/>
                      <w:lang w:bidi="ar-SA"/>
                    </w:rPr>
                    <m:t>placebo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(placebo baseline)</m:t>
              </m:r>
            </m:sub>
          </m:sSub>
        </m:oMath>
      </m:oMathPara>
    </w:p>
    <w:p w14:paraId="54B50FC1" w14:textId="77777777" w:rsidR="003208A4" w:rsidRPr="00F139BF" w:rsidRDefault="003208A4" w:rsidP="003208A4">
      <w:pPr>
        <w:ind w:left="360"/>
        <w:rPr>
          <w:lang w:bidi="ar-SA"/>
        </w:rPr>
      </w:pPr>
    </w:p>
    <w:p w14:paraId="412A4504" w14:textId="2436768C" w:rsidR="003208A4" w:rsidRPr="00BF2D27" w:rsidRDefault="003208A4" w:rsidP="003208A4">
      <w:pPr>
        <w:ind w:left="360"/>
        <w:rPr>
          <w:rFonts w:cs="Arial"/>
          <w:color w:val="0070C0"/>
          <w:lang w:eastAsia="en-AU"/>
        </w:rPr>
      </w:pPr>
      <w:r w:rsidRPr="00F139BF">
        <w:rPr>
          <w:lang w:bidi="ar-SA"/>
        </w:rPr>
        <w:t>where a correlation coefficient (</w:t>
      </w:r>
      <w:r w:rsidRPr="00F139BF">
        <w:rPr>
          <w:i/>
          <w:lang w:bidi="ar-SA"/>
        </w:rPr>
        <w:t>r</w:t>
      </w:r>
      <w:r w:rsidRPr="00F139BF">
        <w:rPr>
          <w:lang w:bidi="ar-SA"/>
        </w:rPr>
        <w:t xml:space="preserve">) of 0.8 </w:t>
      </w:r>
      <w:r w:rsidRPr="00F139BF">
        <w:rPr>
          <w:rFonts w:cs="Arial"/>
          <w:lang w:eastAsia="en-AU"/>
        </w:rPr>
        <w:t xml:space="preserve">was used as the correlation between repeated measures of all </w:t>
      </w:r>
      <w:r w:rsidR="00BB6693">
        <w:rPr>
          <w:rFonts w:cs="Arial"/>
          <w:lang w:eastAsia="en-AU"/>
        </w:rPr>
        <w:t>lipid</w:t>
      </w:r>
      <w:r w:rsidRPr="00F139BF">
        <w:rPr>
          <w:rFonts w:cs="Arial"/>
          <w:lang w:eastAsia="en-AU"/>
        </w:rPr>
        <w:t xml:space="preserve"> </w:t>
      </w:r>
      <w:r w:rsidR="00BB6693">
        <w:rPr>
          <w:rFonts w:cs="Arial"/>
          <w:lang w:eastAsia="en-AU"/>
        </w:rPr>
        <w:t>outcomes (total, LDL-, and HDL-</w:t>
      </w:r>
      <w:r w:rsidRPr="00F139BF">
        <w:rPr>
          <w:rFonts w:cs="Arial"/>
          <w:lang w:eastAsia="en-AU"/>
        </w:rPr>
        <w:t xml:space="preserve">cholesterol, and </w:t>
      </w:r>
      <w:r>
        <w:rPr>
          <w:rFonts w:cs="Arial"/>
          <w:szCs w:val="22"/>
        </w:rPr>
        <w:t>trigly</w:t>
      </w:r>
      <w:r w:rsidRPr="00F139BF">
        <w:rPr>
          <w:rFonts w:cs="Arial"/>
          <w:szCs w:val="22"/>
        </w:rPr>
        <w:t>cerides</w:t>
      </w:r>
      <w:r w:rsidRPr="00F139BF">
        <w:rPr>
          <w:rFonts w:cs="Arial"/>
          <w:lang w:eastAsia="en-AU"/>
        </w:rPr>
        <w:t xml:space="preserve"> </w:t>
      </w:r>
      <w:r>
        <w:rPr>
          <w:rFonts w:cs="Arial"/>
          <w:lang w:eastAsia="en-AU"/>
        </w:rPr>
        <w:t xml:space="preserve">presented in Table </w:t>
      </w:r>
      <w:r w:rsidR="00A65AE0">
        <w:rPr>
          <w:rFonts w:cs="Arial"/>
          <w:lang w:eastAsia="en-AU"/>
        </w:rPr>
        <w:t>3</w:t>
      </w:r>
      <w:r>
        <w:rPr>
          <w:rFonts w:cs="Arial"/>
          <w:lang w:eastAsia="en-AU"/>
        </w:rPr>
        <w:t>; Demonty et al. 2009,</w:t>
      </w:r>
      <w:r w:rsidRPr="00F139BF">
        <w:rPr>
          <w:rFonts w:cs="Arial"/>
          <w:lang w:eastAsia="en-AU"/>
        </w:rPr>
        <w:t xml:space="preserve"> FSANZ 2010)</w:t>
      </w:r>
      <w:r>
        <w:rPr>
          <w:rFonts w:cs="Arial"/>
          <w:lang w:eastAsia="en-AU"/>
        </w:rPr>
        <w:t xml:space="preserve"> </w:t>
      </w:r>
      <w:r w:rsidRPr="00F139BF">
        <w:rPr>
          <w:rFonts w:cs="Arial"/>
          <w:lang w:eastAsia="en-AU"/>
        </w:rPr>
        <w:t xml:space="preserve">and </w:t>
      </w:r>
      <w:r w:rsidRPr="00F139BF">
        <w:rPr>
          <w:i/>
          <w:lang w:bidi="ar-SA"/>
        </w:rPr>
        <w:t>r</w:t>
      </w:r>
      <w:r>
        <w:rPr>
          <w:lang w:bidi="ar-SA"/>
        </w:rPr>
        <w:t>=0.6</w:t>
      </w:r>
      <w:r w:rsidRPr="00F139BF">
        <w:rPr>
          <w:lang w:bidi="ar-SA"/>
        </w:rPr>
        <w:t xml:space="preserve"> </w:t>
      </w:r>
      <w:r>
        <w:rPr>
          <w:lang w:bidi="ar-SA"/>
        </w:rPr>
        <w:t xml:space="preserve">for </w:t>
      </w:r>
      <w:r>
        <w:rPr>
          <w:rFonts w:cs="Arial"/>
          <w:lang w:eastAsia="en-AU"/>
        </w:rPr>
        <w:t>two</w:t>
      </w:r>
      <w:r w:rsidRPr="00F139BF">
        <w:rPr>
          <w:rFonts w:cs="Arial"/>
          <w:lang w:eastAsia="en-AU"/>
        </w:rPr>
        <w:t xml:space="preserve"> glucose</w:t>
      </w:r>
      <w:r w:rsidR="00BB6693">
        <w:rPr>
          <w:rFonts w:cs="Arial"/>
          <w:lang w:eastAsia="en-AU"/>
        </w:rPr>
        <w:t>-related</w:t>
      </w:r>
      <w:r w:rsidRPr="00F139BF">
        <w:rPr>
          <w:rFonts w:cs="Arial"/>
          <w:lang w:eastAsia="en-AU"/>
        </w:rPr>
        <w:t xml:space="preserve"> outcomes (glucose,</w:t>
      </w:r>
      <w:r>
        <w:rPr>
          <w:rFonts w:cs="Arial"/>
          <w:lang w:eastAsia="en-AU"/>
        </w:rPr>
        <w:t xml:space="preserve"> and insulin,</w:t>
      </w:r>
      <w:r w:rsidRPr="00F139BF">
        <w:rPr>
          <w:rFonts w:cs="Arial"/>
          <w:lang w:eastAsia="en-AU"/>
        </w:rPr>
        <w:t xml:space="preserve"> </w:t>
      </w:r>
      <w:r w:rsidRPr="00C555E9">
        <w:rPr>
          <w:rFonts w:cs="Arial"/>
          <w:lang w:eastAsia="en-AU"/>
        </w:rPr>
        <w:t xml:space="preserve">presented in Table </w:t>
      </w:r>
      <w:r w:rsidR="00A65AE0">
        <w:rPr>
          <w:rFonts w:cs="Arial"/>
          <w:lang w:eastAsia="en-AU"/>
        </w:rPr>
        <w:t>4</w:t>
      </w:r>
      <w:r w:rsidRPr="00C555E9">
        <w:rPr>
          <w:rFonts w:cs="Arial"/>
          <w:lang w:eastAsia="en-AU"/>
        </w:rPr>
        <w:t>; based on unpublished capillary blood glucose data, as described by FSANZ 2016 p.</w:t>
      </w:r>
      <w:r w:rsidR="00545D8D">
        <w:rPr>
          <w:rFonts w:cs="Arial"/>
          <w:lang w:eastAsia="en-AU"/>
        </w:rPr>
        <w:t xml:space="preserve"> </w:t>
      </w:r>
      <w:r w:rsidRPr="00C555E9">
        <w:rPr>
          <w:rFonts w:cs="Arial"/>
          <w:lang w:eastAsia="en-AU"/>
        </w:rPr>
        <w:t xml:space="preserve">5) of the studies by </w:t>
      </w:r>
      <w:r w:rsidR="00263117">
        <w:rPr>
          <w:lang w:bidi="ar-SA"/>
        </w:rPr>
        <w:t>Vulevic et al. (2008)</w:t>
      </w:r>
      <w:r w:rsidRPr="00C555E9">
        <w:rPr>
          <w:lang w:bidi="ar-SA"/>
        </w:rPr>
        <w:t xml:space="preserve"> and Vulevic et al. (2013).</w:t>
      </w:r>
    </w:p>
    <w:p w14:paraId="0DA6857F" w14:textId="77777777" w:rsidR="003208A4" w:rsidRDefault="003208A4" w:rsidP="003208A4">
      <w:pPr>
        <w:rPr>
          <w:lang w:bidi="ar-SA"/>
        </w:rPr>
      </w:pPr>
    </w:p>
    <w:p w14:paraId="485C00D9" w14:textId="77777777" w:rsidR="003208A4" w:rsidRPr="0058720F" w:rsidRDefault="003208A4" w:rsidP="003208A4">
      <w:pPr>
        <w:rPr>
          <w:rFonts w:cs="Arial"/>
          <w:lang w:bidi="ar-SA"/>
        </w:rPr>
      </w:pPr>
    </w:p>
    <w:p w14:paraId="0C996904" w14:textId="680565ED" w:rsidR="003208A4" w:rsidRDefault="003208A4" w:rsidP="003208A4">
      <w:pPr>
        <w:rPr>
          <w:rFonts w:cs="Arial"/>
          <w:lang w:eastAsia="en-AU"/>
        </w:rPr>
      </w:pPr>
      <w:r>
        <w:rPr>
          <w:rFonts w:cs="Arial"/>
          <w:lang w:eastAsia="en-AU"/>
        </w:rPr>
        <w:t>HOMA-IR</w:t>
      </w:r>
      <w:r w:rsidRPr="00DB61EF">
        <w:rPr>
          <w:rFonts w:cs="Arial"/>
          <w:lang w:eastAsia="en-AU"/>
        </w:rPr>
        <w:t xml:space="preserve"> </w:t>
      </w:r>
      <w:r>
        <w:rPr>
          <w:rFonts w:cs="Arial"/>
          <w:lang w:eastAsia="en-AU"/>
        </w:rPr>
        <w:t xml:space="preserve">was </w:t>
      </w:r>
      <w:r w:rsidRPr="00DB61EF">
        <w:rPr>
          <w:rFonts w:cs="Arial"/>
          <w:lang w:eastAsia="en-AU"/>
        </w:rPr>
        <w:t xml:space="preserve">reported by </w:t>
      </w:r>
      <w:r w:rsidR="00A407D3">
        <w:rPr>
          <w:rFonts w:cs="Arial"/>
          <w:lang w:eastAsia="en-AU"/>
        </w:rPr>
        <w:t>Pedersen</w:t>
      </w:r>
      <w:r w:rsidRPr="00DB61EF">
        <w:rPr>
          <w:rFonts w:cs="Arial"/>
          <w:lang w:eastAsia="en-AU"/>
        </w:rPr>
        <w:t xml:space="preserve"> et al. (2016) </w:t>
      </w:r>
      <w:r>
        <w:rPr>
          <w:rFonts w:cs="Arial"/>
          <w:lang w:eastAsia="en-AU"/>
        </w:rPr>
        <w:t xml:space="preserve">as medians with interquartile ranges for both groups at baseline </w:t>
      </w:r>
      <w:r w:rsidR="007F0E9F">
        <w:rPr>
          <w:rFonts w:cs="Arial"/>
          <w:lang w:eastAsia="en-AU"/>
        </w:rPr>
        <w:t>and follow-up</w:t>
      </w:r>
      <w:r>
        <w:rPr>
          <w:rFonts w:cs="Arial"/>
          <w:lang w:eastAsia="en-AU"/>
        </w:rPr>
        <w:t>. Means and standard deviations were estimated from the published medians and interquartile ranges. Due to a small sample size and a suggestion of a skewed distribution, the following formulae recommended by Wan et al. (2014) was used:</w:t>
      </w:r>
    </w:p>
    <w:p w14:paraId="745E6C4E" w14:textId="77777777" w:rsidR="003208A4" w:rsidRPr="0058720F" w:rsidRDefault="003208A4" w:rsidP="003208A4">
      <w:pPr>
        <w:jc w:val="right"/>
        <w:rPr>
          <w:rFonts w:cs="Arial"/>
          <w:lang w:eastAsia="en-AU"/>
        </w:rPr>
      </w:pPr>
      <w:r>
        <w:rPr>
          <w:rFonts w:cs="Arial"/>
          <w:lang w:eastAsia="en-AU"/>
        </w:rPr>
        <w:t>(12)</w:t>
      </w:r>
    </w:p>
    <w:p w14:paraId="656DF2D5" w14:textId="7138B25E" w:rsidR="003208A4" w:rsidRDefault="003208A4" w:rsidP="003208A4">
      <w:pPr>
        <w:rPr>
          <w:rFonts w:cs="Arial"/>
          <w:lang w:eastAsia="en-AU"/>
        </w:rPr>
      </w:pPr>
      <w:r>
        <w:rPr>
          <w:noProof/>
          <w:lang w:eastAsia="en-GB" w:bidi="ar-SA"/>
        </w:rPr>
        <w:drawing>
          <wp:inline distT="0" distB="0" distL="0" distR="0" wp14:anchorId="1BB726BA" wp14:editId="489918C7">
            <wp:extent cx="1196870" cy="42032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08416" cy="424384"/>
                    </a:xfrm>
                    <a:prstGeom prst="rect">
                      <a:avLst/>
                    </a:prstGeom>
                  </pic:spPr>
                </pic:pic>
              </a:graphicData>
            </a:graphic>
          </wp:inline>
        </w:drawing>
      </w:r>
    </w:p>
    <w:p w14:paraId="4609B104" w14:textId="77777777" w:rsidR="003208A4" w:rsidRDefault="003208A4" w:rsidP="003208A4">
      <w:pPr>
        <w:jc w:val="right"/>
        <w:rPr>
          <w:rFonts w:cs="Arial"/>
          <w:lang w:eastAsia="en-AU"/>
        </w:rPr>
      </w:pPr>
      <w:r>
        <w:rPr>
          <w:rFonts w:cs="Arial"/>
          <w:lang w:eastAsia="en-AU"/>
        </w:rPr>
        <w:t>(13)</w:t>
      </w:r>
    </w:p>
    <w:p w14:paraId="24C0CBF6" w14:textId="60BD69CF" w:rsidR="003A77A0" w:rsidRPr="003A77A0" w:rsidRDefault="003208A4" w:rsidP="003A77A0">
      <w:pPr>
        <w:rPr>
          <w:rFonts w:cs="Arial"/>
          <w:lang w:eastAsia="en-AU"/>
        </w:rPr>
      </w:pPr>
      <w:r>
        <w:rPr>
          <w:noProof/>
          <w:lang w:eastAsia="en-GB" w:bidi="ar-SA"/>
        </w:rPr>
        <w:drawing>
          <wp:inline distT="0" distB="0" distL="0" distR="0" wp14:anchorId="570DA644" wp14:editId="6BDFFE0A">
            <wp:extent cx="1025013" cy="473680"/>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031888" cy="476857"/>
                    </a:xfrm>
                    <a:prstGeom prst="rect">
                      <a:avLst/>
                    </a:prstGeom>
                  </pic:spPr>
                </pic:pic>
              </a:graphicData>
            </a:graphic>
          </wp:inline>
        </w:drawing>
      </w:r>
    </w:p>
    <w:p w14:paraId="51C734DF" w14:textId="523828AD" w:rsidR="003A77A0" w:rsidRDefault="003A77A0" w:rsidP="003A77A0">
      <w:pPr>
        <w:ind w:left="567"/>
        <w:rPr>
          <w:rFonts w:cs="Arial"/>
          <w:lang w:eastAsia="en-AU"/>
        </w:rPr>
      </w:pPr>
    </w:p>
    <w:p w14:paraId="232D6538" w14:textId="1CDC7D7F" w:rsidR="003208A4" w:rsidRDefault="0075206E" w:rsidP="003B0DF8">
      <w:pPr>
        <w:ind w:left="567"/>
        <w:rPr>
          <w:rFonts w:cs="Arial"/>
          <w:lang w:eastAsia="en-AU"/>
        </w:rPr>
      </w:pPr>
      <w:r>
        <w:rPr>
          <w:rFonts w:cs="Arial"/>
          <w:lang w:eastAsia="en-AU"/>
        </w:rPr>
        <w:t>where,</w:t>
      </w:r>
    </w:p>
    <w:p w14:paraId="1C785EE1" w14:textId="66AF4977" w:rsidR="000678B3" w:rsidRDefault="000678B3" w:rsidP="003B0DF8">
      <w:pPr>
        <w:ind w:left="567"/>
        <w:rPr>
          <w:rFonts w:cs="Arial"/>
          <w:lang w:eastAsia="en-AU"/>
        </w:rPr>
      </w:pPr>
    </w:p>
    <w:p w14:paraId="6DA25ABB" w14:textId="24B44C99" w:rsidR="000678B3" w:rsidRDefault="000678B3" w:rsidP="003B0DF8">
      <w:pPr>
        <w:ind w:left="567"/>
        <w:rPr>
          <w:rFonts w:cs="Arial"/>
          <w:lang w:eastAsia="en-AU"/>
        </w:rPr>
      </w:pPr>
      <w:r w:rsidRPr="0075206E">
        <w:rPr>
          <w:rFonts w:cs="Arial"/>
          <w:i/>
          <w:lang w:eastAsia="en-AU"/>
        </w:rPr>
        <w:t>a</w:t>
      </w:r>
      <w:r>
        <w:rPr>
          <w:rFonts w:cs="Arial"/>
          <w:lang w:eastAsia="en-AU"/>
        </w:rPr>
        <w:t xml:space="preserve"> = the minimum value</w:t>
      </w:r>
    </w:p>
    <w:p w14:paraId="33EB4D8B" w14:textId="0BE13C3E" w:rsidR="000678B3" w:rsidRDefault="000678B3" w:rsidP="003B0DF8">
      <w:pPr>
        <w:ind w:left="567"/>
        <w:rPr>
          <w:rFonts w:cs="Arial"/>
          <w:lang w:eastAsia="en-AU"/>
        </w:rPr>
      </w:pPr>
      <w:r w:rsidRPr="0075206E">
        <w:rPr>
          <w:rFonts w:cs="Arial"/>
          <w:i/>
          <w:lang w:eastAsia="en-AU"/>
        </w:rPr>
        <w:t>q</w:t>
      </w:r>
      <w:r w:rsidRPr="0075206E">
        <w:rPr>
          <w:rFonts w:cs="Arial"/>
          <w:i/>
          <w:vertAlign w:val="subscript"/>
          <w:lang w:eastAsia="en-AU"/>
        </w:rPr>
        <w:t>1</w:t>
      </w:r>
      <w:r>
        <w:rPr>
          <w:rFonts w:cs="Arial"/>
          <w:lang w:eastAsia="en-AU"/>
        </w:rPr>
        <w:t xml:space="preserve"> = the first quartile</w:t>
      </w:r>
    </w:p>
    <w:p w14:paraId="05BF5586" w14:textId="53C75DFE" w:rsidR="000678B3" w:rsidRDefault="000678B3" w:rsidP="003B0DF8">
      <w:pPr>
        <w:ind w:left="567"/>
        <w:rPr>
          <w:rFonts w:cs="Arial"/>
          <w:lang w:eastAsia="en-AU"/>
        </w:rPr>
      </w:pPr>
      <w:r w:rsidRPr="0075206E">
        <w:rPr>
          <w:rFonts w:cs="Arial"/>
          <w:i/>
          <w:lang w:eastAsia="en-AU"/>
        </w:rPr>
        <w:t xml:space="preserve">m </w:t>
      </w:r>
      <w:r>
        <w:rPr>
          <w:rFonts w:cs="Arial"/>
          <w:lang w:eastAsia="en-AU"/>
        </w:rPr>
        <w:t>= the median</w:t>
      </w:r>
    </w:p>
    <w:p w14:paraId="226DA960" w14:textId="59DFA603" w:rsidR="000678B3" w:rsidRDefault="000678B3" w:rsidP="003B0DF8">
      <w:pPr>
        <w:ind w:left="567"/>
        <w:rPr>
          <w:rFonts w:cs="Arial"/>
          <w:lang w:eastAsia="en-AU"/>
        </w:rPr>
      </w:pPr>
      <w:r w:rsidRPr="0075206E">
        <w:rPr>
          <w:rFonts w:cs="Arial"/>
          <w:i/>
          <w:lang w:eastAsia="en-AU"/>
        </w:rPr>
        <w:t>q</w:t>
      </w:r>
      <w:r w:rsidRPr="0075206E">
        <w:rPr>
          <w:rFonts w:cs="Arial"/>
          <w:i/>
          <w:vertAlign w:val="subscript"/>
          <w:lang w:eastAsia="en-AU"/>
        </w:rPr>
        <w:t>3</w:t>
      </w:r>
      <w:r>
        <w:rPr>
          <w:rFonts w:cs="Arial"/>
          <w:lang w:eastAsia="en-AU"/>
        </w:rPr>
        <w:t xml:space="preserve"> = the third quartile</w:t>
      </w:r>
    </w:p>
    <w:p w14:paraId="73F09A1A" w14:textId="05F5ACA7" w:rsidR="000678B3" w:rsidRDefault="000678B3" w:rsidP="003B0DF8">
      <w:pPr>
        <w:ind w:left="567"/>
        <w:rPr>
          <w:rFonts w:cs="Arial"/>
          <w:lang w:eastAsia="en-AU"/>
        </w:rPr>
      </w:pPr>
      <w:r w:rsidRPr="0075206E">
        <w:rPr>
          <w:rFonts w:cs="Arial"/>
          <w:i/>
          <w:lang w:eastAsia="en-AU"/>
        </w:rPr>
        <w:t>b</w:t>
      </w:r>
      <w:r>
        <w:rPr>
          <w:rFonts w:cs="Arial"/>
          <w:lang w:eastAsia="en-AU"/>
        </w:rPr>
        <w:t xml:space="preserve"> = the maximum value</w:t>
      </w:r>
    </w:p>
    <w:p w14:paraId="3CED255C" w14:textId="4C826089" w:rsidR="000678B3" w:rsidRDefault="000678B3" w:rsidP="003B0DF8">
      <w:pPr>
        <w:ind w:left="567"/>
        <w:rPr>
          <w:rFonts w:cs="Arial"/>
          <w:lang w:eastAsia="en-AU"/>
        </w:rPr>
      </w:pPr>
      <w:r w:rsidRPr="0075206E">
        <w:rPr>
          <w:rFonts w:cs="Arial"/>
          <w:i/>
          <w:lang w:eastAsia="en-AU"/>
        </w:rPr>
        <w:t>n</w:t>
      </w:r>
      <w:r>
        <w:rPr>
          <w:rFonts w:cs="Arial"/>
          <w:lang w:eastAsia="en-AU"/>
        </w:rPr>
        <w:t xml:space="preserve"> = the sample size</w:t>
      </w:r>
    </w:p>
    <w:p w14:paraId="1F90ECA3" w14:textId="4950CCDA" w:rsidR="003208A4" w:rsidRDefault="003208A4" w:rsidP="003208A4">
      <w:pPr>
        <w:rPr>
          <w:rFonts w:cs="Arial"/>
          <w:lang w:eastAsia="en-AU"/>
        </w:rPr>
      </w:pPr>
      <w:r>
        <w:rPr>
          <w:rFonts w:cs="Arial"/>
          <w:lang w:eastAsia="en-AU"/>
        </w:rPr>
        <w:t xml:space="preserve">Where </w:t>
      </w:r>
      <w:r>
        <w:rPr>
          <w:noProof/>
          <w:lang w:eastAsia="en-GB" w:bidi="ar-SA"/>
        </w:rPr>
        <w:drawing>
          <wp:inline distT="0" distB="0" distL="0" distR="0" wp14:anchorId="70CE3EF0" wp14:editId="33518170">
            <wp:extent cx="4191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9100" cy="390525"/>
                    </a:xfrm>
                    <a:prstGeom prst="rect">
                      <a:avLst/>
                    </a:prstGeom>
                  </pic:spPr>
                </pic:pic>
              </a:graphicData>
            </a:graphic>
          </wp:inline>
        </w:drawing>
      </w:r>
      <w:r>
        <w:rPr>
          <w:rFonts w:cs="Arial"/>
          <w:lang w:eastAsia="en-AU"/>
        </w:rPr>
        <w:t xml:space="preserve">was selected from Table 2 of Wan et al. (2014) based on Q, where </w:t>
      </w:r>
      <w:r>
        <w:rPr>
          <w:rFonts w:cs="Arial"/>
          <w:i/>
          <w:lang w:eastAsia="en-AU"/>
        </w:rPr>
        <w:t xml:space="preserve">n = 4Q + 1, </w:t>
      </w:r>
      <w:r>
        <w:rPr>
          <w:rFonts w:cs="Arial"/>
          <w:lang w:eastAsia="en-AU"/>
        </w:rPr>
        <w:t xml:space="preserve">and </w:t>
      </w:r>
      <w:r w:rsidR="00263117">
        <w:rPr>
          <w:rFonts w:cs="Arial"/>
          <w:i/>
          <w:lang w:eastAsia="en-AU"/>
        </w:rPr>
        <w:t>n</w:t>
      </w:r>
      <w:r>
        <w:rPr>
          <w:rFonts w:cs="Arial"/>
          <w:lang w:eastAsia="en-AU"/>
        </w:rPr>
        <w:t xml:space="preserve">=15 (placebo) and </w:t>
      </w:r>
      <w:r w:rsidR="00263117">
        <w:rPr>
          <w:rFonts w:cs="Arial"/>
          <w:i/>
          <w:lang w:eastAsia="en-AU"/>
        </w:rPr>
        <w:t>n</w:t>
      </w:r>
      <w:r w:rsidR="00263117">
        <w:rPr>
          <w:rFonts w:cs="Arial"/>
          <w:lang w:eastAsia="en-AU"/>
        </w:rPr>
        <w:t>=</w:t>
      </w:r>
      <w:r>
        <w:rPr>
          <w:rFonts w:cs="Arial"/>
          <w:lang w:eastAsia="en-AU"/>
        </w:rPr>
        <w:t>14 (intervention).</w:t>
      </w:r>
    </w:p>
    <w:p w14:paraId="15D2F425" w14:textId="77777777" w:rsidR="003208A4" w:rsidRDefault="003208A4" w:rsidP="003208A4">
      <w:pPr>
        <w:rPr>
          <w:rFonts w:cs="Arial"/>
          <w:lang w:eastAsia="en-AU"/>
        </w:rPr>
      </w:pPr>
    </w:p>
    <w:p w14:paraId="58ECFB7E" w14:textId="6857D3C5" w:rsidR="003208A4" w:rsidRDefault="003208A4" w:rsidP="003208A4">
      <w:pPr>
        <w:rPr>
          <w:rFonts w:cs="Arial"/>
          <w:lang w:eastAsia="en-AU"/>
        </w:rPr>
      </w:pPr>
      <w:r>
        <w:rPr>
          <w:rFonts w:cs="Arial"/>
          <w:lang w:eastAsia="en-AU"/>
        </w:rPr>
        <w:t xml:space="preserve">The estimated mean difference over time between groups for HOMA-IR of </w:t>
      </w:r>
      <w:r w:rsidR="00A407D3">
        <w:rPr>
          <w:rFonts w:cs="Arial"/>
          <w:lang w:eastAsia="en-AU"/>
        </w:rPr>
        <w:t>Pedersen</w:t>
      </w:r>
      <w:r w:rsidRPr="00DB61EF">
        <w:rPr>
          <w:rFonts w:cs="Arial"/>
          <w:lang w:eastAsia="en-AU"/>
        </w:rPr>
        <w:t xml:space="preserve"> et al. (2016) </w:t>
      </w:r>
      <w:r>
        <w:rPr>
          <w:rFonts w:cs="Arial"/>
          <w:lang w:eastAsia="en-AU"/>
        </w:rPr>
        <w:t>was then calculated using:</w:t>
      </w:r>
    </w:p>
    <w:p w14:paraId="1678F8A0" w14:textId="77777777" w:rsidR="003208A4" w:rsidRDefault="003208A4" w:rsidP="003208A4">
      <w:pPr>
        <w:jc w:val="right"/>
        <w:rPr>
          <w:rFonts w:cs="Arial"/>
          <w:lang w:eastAsia="en-AU"/>
        </w:rPr>
      </w:pPr>
      <w:r>
        <w:rPr>
          <w:rFonts w:cs="Arial"/>
          <w:lang w:eastAsia="en-AU"/>
        </w:rPr>
        <w:t>(14)</w:t>
      </w:r>
    </w:p>
    <w:p w14:paraId="39E6E286" w14:textId="632C3D4E" w:rsidR="003208A4" w:rsidRDefault="003208A4" w:rsidP="003208A4">
      <w:pPr>
        <w:rPr>
          <w:lang w:bidi="ar-SA"/>
        </w:rPr>
      </w:pPr>
      <m:oMathPara>
        <m:oMath>
          <m:r>
            <w:rPr>
              <w:rFonts w:ascii="Cambria Math" w:hAnsi="Cambria Math"/>
              <w:lang w:bidi="ar-SA"/>
            </w:rPr>
            <m:t>D=</m:t>
          </m:r>
          <m:sSub>
            <m:sSubPr>
              <m:ctrlPr>
                <w:rPr>
                  <w:rFonts w:ascii="Cambria Math" w:hAnsi="Cambria Math"/>
                  <w:i/>
                  <w:lang w:bidi="ar-SA"/>
                </w:rPr>
              </m:ctrlPr>
            </m:sSubPr>
            <m:e>
              <m:r>
                <w:rPr>
                  <w:rFonts w:ascii="Cambria Math" w:hAnsi="Cambria Math"/>
                  <w:lang w:bidi="ar-SA"/>
                </w:rPr>
                <m:t>(estimated mean</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sSub>
                <m:sSubPr>
                  <m:ctrlPr>
                    <w:rPr>
                      <w:rFonts w:ascii="Cambria Math" w:hAnsi="Cambria Math"/>
                      <w:i/>
                      <w:lang w:bidi="ar-SA"/>
                    </w:rPr>
                  </m:ctrlPr>
                </m:sSubPr>
                <m:e>
                  <m:r>
                    <w:rPr>
                      <w:rFonts w:ascii="Cambria Math" w:hAnsi="Cambria Math"/>
                      <w:lang w:bidi="ar-SA"/>
                    </w:rPr>
                    <m:t>estimated mean</m:t>
                  </m:r>
                </m:e>
                <m:sub>
                  <m:d>
                    <m:dPr>
                      <m:ctrlPr>
                        <w:rPr>
                          <w:rFonts w:ascii="Cambria Math" w:hAnsi="Cambria Math"/>
                          <w:i/>
                          <w:lang w:bidi="ar-SA"/>
                        </w:rPr>
                      </m:ctrlPr>
                    </m:dPr>
                    <m:e>
                      <m:r>
                        <w:rPr>
                          <w:rFonts w:ascii="Cambria Math" w:hAnsi="Cambria Math"/>
                          <w:lang w:bidi="ar-SA"/>
                        </w:rPr>
                        <m:t>intervention baseline</m:t>
                      </m:r>
                    </m:e>
                  </m:d>
                </m:sub>
              </m:sSub>
              <m:r>
                <w:rPr>
                  <w:rFonts w:ascii="Cambria Math" w:hAnsi="Cambria Math"/>
                  <w:lang w:bidi="ar-SA"/>
                </w:rPr>
                <m:t>)-(estimated mean</m:t>
              </m:r>
            </m:e>
            <m:sub>
              <m:d>
                <m:dPr>
                  <m:ctrlPr>
                    <w:rPr>
                      <w:rFonts w:ascii="Cambria Math" w:hAnsi="Cambria Math"/>
                      <w:i/>
                      <w:lang w:bidi="ar-SA"/>
                    </w:rPr>
                  </m:ctrlPr>
                </m:dPr>
                <m:e>
                  <m:r>
                    <w:rPr>
                      <w:rFonts w:ascii="Cambria Math" w:hAnsi="Cambria Math"/>
                      <w:lang w:bidi="ar-SA"/>
                    </w:rPr>
                    <m:t>placebo follow-up</m:t>
                  </m:r>
                </m:e>
              </m:d>
            </m:sub>
          </m:sSub>
          <m:sSub>
            <m:sSubPr>
              <m:ctrlPr>
                <w:rPr>
                  <w:rFonts w:ascii="Cambria Math" w:hAnsi="Cambria Math"/>
                  <w:i/>
                  <w:lang w:bidi="ar-SA"/>
                </w:rPr>
              </m:ctrlPr>
            </m:sSubPr>
            <m:e>
              <m:r>
                <w:rPr>
                  <w:rFonts w:ascii="Cambria Math" w:hAnsi="Cambria Math"/>
                  <w:lang w:bidi="ar-SA"/>
                </w:rPr>
                <m:t xml:space="preserve"> - estimated mean</m:t>
              </m:r>
            </m:e>
            <m:sub>
              <m:d>
                <m:dPr>
                  <m:ctrlPr>
                    <w:rPr>
                      <w:rFonts w:ascii="Cambria Math" w:hAnsi="Cambria Math"/>
                      <w:i/>
                      <w:lang w:bidi="ar-SA"/>
                    </w:rPr>
                  </m:ctrlPr>
                </m:dPr>
                <m:e>
                  <m:r>
                    <w:rPr>
                      <w:rFonts w:ascii="Cambria Math" w:hAnsi="Cambria Math"/>
                      <w:lang w:bidi="ar-SA"/>
                    </w:rPr>
                    <m:t>placebo baseline</m:t>
                  </m:r>
                </m:e>
              </m:d>
            </m:sub>
          </m:sSub>
          <m:r>
            <w:rPr>
              <w:rFonts w:ascii="Cambria Math" w:hAnsi="Cambria Math"/>
              <w:lang w:bidi="ar-SA"/>
            </w:rPr>
            <m:t>)</m:t>
          </m:r>
        </m:oMath>
      </m:oMathPara>
    </w:p>
    <w:p w14:paraId="698D04B2" w14:textId="77777777" w:rsidR="003208A4" w:rsidRDefault="003208A4" w:rsidP="003208A4">
      <w:pPr>
        <w:rPr>
          <w:lang w:bidi="ar-SA"/>
        </w:rPr>
      </w:pPr>
    </w:p>
    <w:p w14:paraId="61FA0E95" w14:textId="543A336A" w:rsidR="003208A4" w:rsidRPr="00BC039C" w:rsidRDefault="003208A4" w:rsidP="003208A4">
      <w:pPr>
        <w:rPr>
          <w:rFonts w:cs="Arial"/>
          <w:lang w:eastAsia="en-AU"/>
        </w:rPr>
      </w:pPr>
      <w:r>
        <w:rPr>
          <w:rFonts w:cs="Arial"/>
          <w:lang w:eastAsia="en-AU"/>
        </w:rPr>
        <w:t xml:space="preserve">For HOMA-IR, reported by </w:t>
      </w:r>
      <w:r w:rsidR="00A407D3">
        <w:rPr>
          <w:rFonts w:cs="Arial"/>
          <w:lang w:eastAsia="en-AU"/>
        </w:rPr>
        <w:t>Pedersen</w:t>
      </w:r>
      <w:r>
        <w:rPr>
          <w:rFonts w:cs="Arial"/>
          <w:lang w:eastAsia="en-AU"/>
        </w:rPr>
        <w:t xml:space="preserve"> et al. (2016), the estimated</w:t>
      </w:r>
      <w:r w:rsidRPr="00152B79">
        <w:rPr>
          <w:rFonts w:cs="Arial"/>
          <w:lang w:eastAsia="en-AU"/>
        </w:rPr>
        <w:t xml:space="preserve"> </w:t>
      </w:r>
      <w:r>
        <w:rPr>
          <w:rFonts w:cs="Arial"/>
          <w:lang w:eastAsia="en-AU"/>
        </w:rPr>
        <w:t xml:space="preserve">standard deviations derived from formula 13 were used to estimate </w:t>
      </w:r>
      <w:r>
        <w:rPr>
          <w:lang w:bidi="ar-SA"/>
        </w:rPr>
        <w:t>the standard error of the difference between groups</w:t>
      </w:r>
      <w:r w:rsidRPr="00DF3A99">
        <w:rPr>
          <w:lang w:bidi="ar-SA"/>
        </w:rPr>
        <w:t xml:space="preserve"> </w:t>
      </w:r>
      <w:r>
        <w:rPr>
          <w:lang w:bidi="ar-SA"/>
        </w:rPr>
        <w:t>over time (</w:t>
      </w:r>
      <w:r w:rsidRPr="00DF3A99">
        <w:rPr>
          <w:i/>
          <w:lang w:bidi="ar-SA"/>
        </w:rPr>
        <w:t>SE</w:t>
      </w:r>
      <w:r w:rsidRPr="00DF3A99">
        <w:rPr>
          <w:i/>
          <w:vertAlign w:val="subscript"/>
          <w:lang w:bidi="ar-SA"/>
        </w:rPr>
        <w:t>D</w:t>
      </w:r>
      <w:r>
        <w:rPr>
          <w:lang w:bidi="ar-SA"/>
        </w:rPr>
        <w:t xml:space="preserve">) using formulae 7 to 11 above, with a correlation </w:t>
      </w:r>
      <w:r w:rsidRPr="00F139BF">
        <w:rPr>
          <w:lang w:bidi="ar-SA"/>
        </w:rPr>
        <w:t>coefficient (</w:t>
      </w:r>
      <w:r w:rsidRPr="00F139BF">
        <w:rPr>
          <w:i/>
          <w:lang w:bidi="ar-SA"/>
        </w:rPr>
        <w:t>r</w:t>
      </w:r>
      <w:r>
        <w:rPr>
          <w:lang w:bidi="ar-SA"/>
        </w:rPr>
        <w:t xml:space="preserve">) of 0.6, </w:t>
      </w:r>
      <w:r>
        <w:rPr>
          <w:rFonts w:cs="Arial"/>
          <w:lang w:eastAsia="en-AU"/>
        </w:rPr>
        <w:t xml:space="preserve">based on unpublished capillary blood glucose data (as </w:t>
      </w:r>
      <w:r w:rsidRPr="00C555E9">
        <w:rPr>
          <w:rFonts w:cs="Arial"/>
          <w:lang w:eastAsia="en-AU"/>
        </w:rPr>
        <w:t>described by FSANZ 2016 p.</w:t>
      </w:r>
      <w:r w:rsidR="00545D8D">
        <w:rPr>
          <w:rFonts w:cs="Arial"/>
          <w:lang w:eastAsia="en-AU"/>
        </w:rPr>
        <w:t xml:space="preserve"> </w:t>
      </w:r>
      <w:r w:rsidRPr="00C555E9">
        <w:rPr>
          <w:rFonts w:cs="Arial"/>
          <w:lang w:eastAsia="en-AU"/>
        </w:rPr>
        <w:t>5</w:t>
      </w:r>
      <w:r w:rsidRPr="00C555E9">
        <w:rPr>
          <w:lang w:bidi="ar-SA"/>
        </w:rPr>
        <w:t>) for</w:t>
      </w:r>
      <w:r w:rsidRPr="00C555E9">
        <w:rPr>
          <w:rFonts w:cs="Arial"/>
          <w:lang w:eastAsia="en-AU"/>
        </w:rPr>
        <w:t xml:space="preserve"> the</w:t>
      </w:r>
      <w:r w:rsidRPr="00BC039C">
        <w:rPr>
          <w:rFonts w:cs="Arial"/>
          <w:lang w:eastAsia="en-AU"/>
        </w:rPr>
        <w:t xml:space="preserve"> correlation between repeated measures.</w:t>
      </w:r>
    </w:p>
    <w:p w14:paraId="510E55E0" w14:textId="77777777" w:rsidR="003208A4" w:rsidRDefault="003208A4" w:rsidP="003208A4">
      <w:pPr>
        <w:rPr>
          <w:rFonts w:cs="Arial"/>
          <w:lang w:eastAsia="en-AU"/>
        </w:rPr>
      </w:pPr>
    </w:p>
    <w:p w14:paraId="2E0153DC" w14:textId="5EE72463" w:rsidR="003208A4" w:rsidRDefault="003208A4" w:rsidP="003208A4">
      <w:pPr>
        <w:rPr>
          <w:rFonts w:cs="Arial"/>
          <w:lang w:eastAsia="en-AU"/>
        </w:rPr>
      </w:pPr>
      <w:r>
        <w:rPr>
          <w:rFonts w:cs="Arial"/>
          <w:lang w:eastAsia="en-AU"/>
        </w:rPr>
        <w:t>Two</w:t>
      </w:r>
      <w:r w:rsidRPr="00DB61EF">
        <w:rPr>
          <w:rFonts w:cs="Arial"/>
          <w:lang w:eastAsia="en-AU"/>
        </w:rPr>
        <w:t xml:space="preserve"> parallel studies </w:t>
      </w:r>
      <w:r>
        <w:rPr>
          <w:rFonts w:cs="Arial"/>
          <w:lang w:eastAsia="en-AU"/>
        </w:rPr>
        <w:t xml:space="preserve">report the mean at both baseline and </w:t>
      </w:r>
      <w:r w:rsidR="007F0E9F">
        <w:rPr>
          <w:rFonts w:cs="Arial"/>
          <w:lang w:eastAsia="en-AU"/>
        </w:rPr>
        <w:t>follow-up</w:t>
      </w:r>
      <w:r w:rsidRPr="00DB61EF">
        <w:rPr>
          <w:rFonts w:cs="Arial"/>
          <w:lang w:eastAsia="en-AU"/>
        </w:rPr>
        <w:t xml:space="preserve"> (</w:t>
      </w:r>
      <w:r w:rsidRPr="00FA1D5F">
        <w:rPr>
          <w:lang w:bidi="ar-SA"/>
        </w:rPr>
        <w:t>Canfora et al. 2017</w:t>
      </w:r>
      <w:r>
        <w:rPr>
          <w:lang w:bidi="ar-SA"/>
        </w:rPr>
        <w:t xml:space="preserve"> and all outcomes except HOMA-IR from </w:t>
      </w:r>
      <w:r w:rsidR="00A407D3">
        <w:rPr>
          <w:lang w:bidi="ar-SA"/>
        </w:rPr>
        <w:t>Pedersen</w:t>
      </w:r>
      <w:r w:rsidRPr="00DB61EF">
        <w:rPr>
          <w:lang w:bidi="ar-SA"/>
        </w:rPr>
        <w:t xml:space="preserve"> et al. </w:t>
      </w:r>
      <w:r w:rsidRPr="00FA1D5F">
        <w:rPr>
          <w:lang w:bidi="ar-SA"/>
        </w:rPr>
        <w:t>2016)</w:t>
      </w:r>
      <w:r>
        <w:rPr>
          <w:rFonts w:cs="Arial"/>
          <w:lang w:eastAsia="en-AU"/>
        </w:rPr>
        <w:t xml:space="preserve"> and we calculated t</w:t>
      </w:r>
      <w:r w:rsidRPr="00DB61EF">
        <w:rPr>
          <w:rFonts w:cs="Arial"/>
          <w:lang w:eastAsia="en-AU"/>
        </w:rPr>
        <w:t>he mean difference over time</w:t>
      </w:r>
      <w:r>
        <w:rPr>
          <w:rFonts w:cs="Arial"/>
          <w:lang w:eastAsia="en-AU"/>
        </w:rPr>
        <w:t xml:space="preserve"> between groups using formula 6 above.</w:t>
      </w:r>
    </w:p>
    <w:p w14:paraId="03FADE77" w14:textId="77777777" w:rsidR="003208A4" w:rsidRDefault="003208A4" w:rsidP="003208A4">
      <w:pPr>
        <w:rPr>
          <w:rFonts w:cs="Arial"/>
          <w:lang w:eastAsia="en-AU"/>
        </w:rPr>
      </w:pPr>
    </w:p>
    <w:p w14:paraId="4A352FE8" w14:textId="7583C588" w:rsidR="003208A4" w:rsidRPr="00AF7B65" w:rsidRDefault="003208A4" w:rsidP="003208A4">
      <w:pPr>
        <w:rPr>
          <w:rFonts w:cs="Arial"/>
          <w:lang w:eastAsia="en-AU"/>
        </w:rPr>
      </w:pPr>
      <w:r w:rsidRPr="00FA1D5F">
        <w:rPr>
          <w:rFonts w:cs="Arial"/>
          <w:lang w:eastAsia="en-AU"/>
        </w:rPr>
        <w:t xml:space="preserve">For </w:t>
      </w:r>
      <w:r>
        <w:rPr>
          <w:rFonts w:cs="Arial"/>
          <w:lang w:eastAsia="en-AU"/>
        </w:rPr>
        <w:t>one of these</w:t>
      </w:r>
      <w:r w:rsidRPr="00FA1D5F">
        <w:rPr>
          <w:rFonts w:cs="Arial"/>
          <w:lang w:eastAsia="en-AU"/>
        </w:rPr>
        <w:t xml:space="preserve"> parallel studies (</w:t>
      </w:r>
      <w:r w:rsidR="00A407D3">
        <w:rPr>
          <w:lang w:bidi="ar-SA"/>
        </w:rPr>
        <w:t>Pedersen</w:t>
      </w:r>
      <w:r w:rsidRPr="00FA1D5F">
        <w:rPr>
          <w:lang w:bidi="ar-SA"/>
        </w:rPr>
        <w:t xml:space="preserve"> et al. 2016</w:t>
      </w:r>
      <w:r w:rsidRPr="00FA1D5F">
        <w:rPr>
          <w:rFonts w:cs="Arial"/>
          <w:lang w:eastAsia="en-AU"/>
        </w:rPr>
        <w:t>)</w:t>
      </w:r>
      <w:r>
        <w:rPr>
          <w:rFonts w:cs="Arial"/>
          <w:lang w:eastAsia="en-AU"/>
        </w:rPr>
        <w:t xml:space="preserve">, which reported the SE at both </w:t>
      </w:r>
      <w:r>
        <w:rPr>
          <w:rFonts w:cs="Arial"/>
          <w:lang w:eastAsia="en-AU"/>
        </w:rPr>
        <w:lastRenderedPageBreak/>
        <w:t xml:space="preserve">baseline and </w:t>
      </w:r>
      <w:r w:rsidR="007F0E9F">
        <w:rPr>
          <w:rFonts w:cs="Arial"/>
          <w:lang w:eastAsia="en-AU"/>
        </w:rPr>
        <w:t>follow-up</w:t>
      </w:r>
      <w:r>
        <w:rPr>
          <w:rFonts w:cs="Arial"/>
          <w:lang w:eastAsia="en-AU"/>
        </w:rPr>
        <w:t xml:space="preserve"> for each condition for all outcomes except HOMA-IR</w:t>
      </w:r>
      <w:r w:rsidR="00EB2A8B">
        <w:rPr>
          <w:rFonts w:cs="Arial"/>
          <w:lang w:eastAsia="en-AU"/>
        </w:rPr>
        <w:t xml:space="preserve"> (described above)</w:t>
      </w:r>
      <w:r>
        <w:rPr>
          <w:rFonts w:cs="Arial"/>
          <w:lang w:eastAsia="en-AU"/>
        </w:rPr>
        <w:t>,</w:t>
      </w:r>
      <w:r w:rsidRPr="00FA1D5F">
        <w:rPr>
          <w:rFonts w:cs="Arial"/>
          <w:lang w:eastAsia="en-AU"/>
        </w:rPr>
        <w:t xml:space="preserve"> the standard error of the difference</w:t>
      </w:r>
      <w:r>
        <w:rPr>
          <w:rFonts w:cs="Arial"/>
          <w:lang w:eastAsia="en-AU"/>
        </w:rPr>
        <w:t xml:space="preserve"> between groups</w:t>
      </w:r>
      <w:r w:rsidRPr="00FA1D5F">
        <w:rPr>
          <w:rFonts w:cs="Arial"/>
          <w:lang w:eastAsia="en-AU"/>
        </w:rPr>
        <w:t xml:space="preserve"> </w:t>
      </w:r>
      <w:r>
        <w:rPr>
          <w:rFonts w:cs="Arial"/>
          <w:lang w:eastAsia="en-AU"/>
        </w:rPr>
        <w:t xml:space="preserve">over time (for the former seven outcomes) </w:t>
      </w:r>
      <w:r w:rsidRPr="00FA1D5F">
        <w:rPr>
          <w:rFonts w:cs="Arial"/>
          <w:lang w:eastAsia="en-AU"/>
        </w:rPr>
        <w:t>was calculated as:</w:t>
      </w:r>
    </w:p>
    <w:p w14:paraId="757BA55B" w14:textId="77777777" w:rsidR="003208A4" w:rsidRDefault="003208A4" w:rsidP="003208A4">
      <w:pPr>
        <w:ind w:left="360"/>
        <w:rPr>
          <w:lang w:bidi="ar-SA"/>
        </w:rPr>
      </w:pPr>
      <w:r w:rsidRPr="00AF7B65">
        <w:rPr>
          <w:lang w:bidi="ar-SA"/>
        </w:rPr>
        <w:t xml:space="preserve">The standard error of </w:t>
      </w:r>
      <w:r w:rsidRPr="00AF7B65">
        <w:rPr>
          <w:i/>
          <w:lang w:bidi="ar-SA"/>
        </w:rPr>
        <w:t>D</w:t>
      </w:r>
      <w:r w:rsidRPr="00AF7B65">
        <w:rPr>
          <w:lang w:bidi="ar-SA"/>
        </w:rPr>
        <w:t xml:space="preserve"> is,</w:t>
      </w:r>
    </w:p>
    <w:p w14:paraId="2383783D" w14:textId="77777777" w:rsidR="003208A4" w:rsidRPr="00AF7B65" w:rsidRDefault="003208A4" w:rsidP="003208A4">
      <w:pPr>
        <w:ind w:left="360"/>
        <w:jc w:val="right"/>
        <w:rPr>
          <w:lang w:bidi="ar-SA"/>
        </w:rPr>
      </w:pPr>
      <w:r>
        <w:rPr>
          <w:lang w:bidi="ar-SA"/>
        </w:rPr>
        <w:t>(15)</w:t>
      </w:r>
    </w:p>
    <w:p w14:paraId="05A89075" w14:textId="77777777" w:rsidR="003208A4" w:rsidRPr="00AF7B65"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D</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1</m:t>
                  </m:r>
                </m:sub>
                <m:sup>
                  <m:r>
                    <w:rPr>
                      <w:rFonts w:ascii="Cambria Math" w:hAnsi="Cambria Math"/>
                      <w:lang w:bidi="ar-SA"/>
                    </w:rPr>
                    <m:t>2</m:t>
                  </m:r>
                </m:sup>
              </m:sSubSup>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2</m:t>
                  </m:r>
                </m:sub>
                <m:sup>
                  <m:r>
                    <w:rPr>
                      <w:rFonts w:ascii="Cambria Math" w:hAnsi="Cambria Math"/>
                      <w:lang w:bidi="ar-SA"/>
                    </w:rPr>
                    <m:t>2</m:t>
                  </m:r>
                </m:sup>
              </m:sSubSup>
            </m:e>
          </m:rad>
        </m:oMath>
      </m:oMathPara>
    </w:p>
    <w:p w14:paraId="2EBA993E" w14:textId="77777777" w:rsidR="003208A4" w:rsidRDefault="003208A4" w:rsidP="003208A4">
      <w:pPr>
        <w:ind w:left="360"/>
        <w:rPr>
          <w:lang w:bidi="ar-SA"/>
        </w:rPr>
      </w:pPr>
      <w:r w:rsidRPr="00AF7B65">
        <w:rPr>
          <w:lang w:bidi="ar-SA"/>
        </w:rPr>
        <w:t xml:space="preserve">where </w:t>
      </w:r>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1</m:t>
            </m:r>
          </m:sub>
        </m:sSub>
      </m:oMath>
      <w:r w:rsidRPr="00AF7B65">
        <w:rPr>
          <w:lang w:bidi="ar-SA"/>
        </w:rPr>
        <w:t xml:space="preserve"> is,</w:t>
      </w:r>
    </w:p>
    <w:p w14:paraId="4795B6F7" w14:textId="77777777" w:rsidR="003208A4" w:rsidRPr="00AF7B65" w:rsidRDefault="003208A4" w:rsidP="003208A4">
      <w:pPr>
        <w:ind w:left="360"/>
        <w:jc w:val="right"/>
        <w:rPr>
          <w:lang w:bidi="ar-SA"/>
        </w:rPr>
      </w:pPr>
      <w:r>
        <w:rPr>
          <w:lang w:bidi="ar-SA"/>
        </w:rPr>
        <w:t>(16)</w:t>
      </w:r>
    </w:p>
    <w:p w14:paraId="5598FA98" w14:textId="5F8E8066" w:rsidR="003208A4" w:rsidRPr="00AF7B65"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1</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(intervention follow-up)</m:t>
                  </m:r>
                </m:sub>
                <m:sup>
                  <m:r>
                    <w:rPr>
                      <w:rFonts w:ascii="Cambria Math" w:hAnsi="Cambria Math"/>
                      <w:lang w:bidi="ar-SA"/>
                    </w:rPr>
                    <m:t>2</m:t>
                  </m:r>
                </m:sup>
              </m:sSubSup>
            </m:e>
          </m:rad>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(intervention baseline)</m:t>
              </m:r>
            </m:sub>
            <m:sup>
              <m:r>
                <w:rPr>
                  <w:rFonts w:ascii="Cambria Math" w:hAnsi="Cambria Math"/>
                  <w:lang w:bidi="ar-SA"/>
                </w:rPr>
                <m:t>2</m:t>
              </m:r>
            </m:sup>
          </m:sSubSup>
          <m:r>
            <w:rPr>
              <w:rFonts w:ascii="Cambria Math" w:hAnsi="Cambria Math"/>
              <w:lang w:bidi="ar-SA"/>
            </w:rPr>
            <m:t xml:space="preserve">-2 ×r × </m:t>
          </m:r>
          <m:sSub>
            <m:sSubPr>
              <m:ctrlPr>
                <w:rPr>
                  <w:rFonts w:ascii="Cambria Math" w:hAnsi="Cambria Math"/>
                  <w:i/>
                  <w:lang w:bidi="ar-SA"/>
                </w:rPr>
              </m:ctrlPr>
            </m:sSubPr>
            <m:e>
              <m:r>
                <w:rPr>
                  <w:rFonts w:ascii="Cambria Math" w:hAnsi="Cambria Math"/>
                  <w:lang w:bidi="ar-SA"/>
                </w:rPr>
                <m:t>SE</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(intervention baseline)</m:t>
              </m:r>
            </m:sub>
          </m:sSub>
        </m:oMath>
      </m:oMathPara>
    </w:p>
    <w:p w14:paraId="68D28364" w14:textId="77777777" w:rsidR="003208A4" w:rsidRPr="00AF7B65" w:rsidRDefault="003208A4" w:rsidP="003208A4">
      <w:pPr>
        <w:ind w:left="360"/>
        <w:rPr>
          <w:lang w:bidi="ar-SA"/>
        </w:rPr>
      </w:pPr>
    </w:p>
    <w:p w14:paraId="6F077BED" w14:textId="77777777" w:rsidR="003208A4" w:rsidRDefault="003208A4" w:rsidP="003208A4">
      <w:pPr>
        <w:ind w:left="360"/>
        <w:rPr>
          <w:lang w:bidi="ar-SA"/>
        </w:rPr>
      </w:pPr>
      <w:r w:rsidRPr="00AF7B65">
        <w:rPr>
          <w:lang w:bidi="ar-SA"/>
        </w:rPr>
        <w:t xml:space="preserve">where </w:t>
      </w:r>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2</m:t>
            </m:r>
          </m:sub>
        </m:sSub>
      </m:oMath>
      <w:r w:rsidRPr="00AF7B65">
        <w:rPr>
          <w:lang w:bidi="ar-SA"/>
        </w:rPr>
        <w:t xml:space="preserve"> is,</w:t>
      </w:r>
    </w:p>
    <w:p w14:paraId="0D2A22D2" w14:textId="77777777" w:rsidR="003208A4" w:rsidRPr="00AF7B65" w:rsidRDefault="003208A4" w:rsidP="003208A4">
      <w:pPr>
        <w:ind w:left="360"/>
        <w:jc w:val="right"/>
        <w:rPr>
          <w:lang w:bidi="ar-SA"/>
        </w:rPr>
      </w:pPr>
      <w:r>
        <w:rPr>
          <w:lang w:bidi="ar-SA"/>
        </w:rPr>
        <w:t>(17)</w:t>
      </w:r>
    </w:p>
    <w:p w14:paraId="24867F2C" w14:textId="5F404A47" w:rsidR="003208A4" w:rsidRPr="00AF7B65" w:rsidRDefault="00C342D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2</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(placebo follow-up)</m:t>
                  </m:r>
                </m:sub>
                <m:sup>
                  <m:r>
                    <w:rPr>
                      <w:rFonts w:ascii="Cambria Math" w:hAnsi="Cambria Math"/>
                      <w:lang w:bidi="ar-SA"/>
                    </w:rPr>
                    <m:t>2</m:t>
                  </m:r>
                </m:sup>
              </m:sSubSup>
            </m:e>
          </m:rad>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(placebo baseline)</m:t>
              </m:r>
            </m:sub>
            <m:sup>
              <m:r>
                <w:rPr>
                  <w:rFonts w:ascii="Cambria Math" w:hAnsi="Cambria Math"/>
                  <w:lang w:bidi="ar-SA"/>
                </w:rPr>
                <m:t>2</m:t>
              </m:r>
            </m:sup>
          </m:sSubSup>
          <m:r>
            <w:rPr>
              <w:rFonts w:ascii="Cambria Math" w:hAnsi="Cambria Math"/>
              <w:lang w:bidi="ar-SA"/>
            </w:rPr>
            <m:t xml:space="preserve">-2 ×r × </m:t>
          </m:r>
          <m:sSub>
            <m:sSubPr>
              <m:ctrlPr>
                <w:rPr>
                  <w:rFonts w:ascii="Cambria Math" w:hAnsi="Cambria Math"/>
                  <w:i/>
                  <w:lang w:bidi="ar-SA"/>
                </w:rPr>
              </m:ctrlPr>
            </m:sSubPr>
            <m:e>
              <m:r>
                <w:rPr>
                  <w:rFonts w:ascii="Cambria Math" w:hAnsi="Cambria Math"/>
                  <w:lang w:bidi="ar-SA"/>
                </w:rPr>
                <m:t>SE</m:t>
              </m:r>
            </m:e>
            <m:sub>
              <m:d>
                <m:dPr>
                  <m:ctrlPr>
                    <w:rPr>
                      <w:rFonts w:ascii="Cambria Math" w:hAnsi="Cambria Math"/>
                      <w:i/>
                      <w:lang w:bidi="ar-SA"/>
                    </w:rPr>
                  </m:ctrlPr>
                </m:dPr>
                <m:e>
                  <m:r>
                    <w:rPr>
                      <w:rFonts w:ascii="Cambria Math" w:hAnsi="Cambria Math"/>
                      <w:lang w:bidi="ar-SA"/>
                    </w:rPr>
                    <m:t>placebo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(placebo baseline)</m:t>
              </m:r>
            </m:sub>
          </m:sSub>
        </m:oMath>
      </m:oMathPara>
    </w:p>
    <w:p w14:paraId="56C98D41" w14:textId="77777777" w:rsidR="003208A4" w:rsidRDefault="003208A4" w:rsidP="003208A4">
      <w:pPr>
        <w:ind w:left="360"/>
        <w:rPr>
          <w:color w:val="A6A6A6" w:themeColor="background1" w:themeShade="A6"/>
          <w:lang w:bidi="ar-SA"/>
        </w:rPr>
      </w:pPr>
    </w:p>
    <w:p w14:paraId="0D3CE164" w14:textId="1E48FBAA" w:rsidR="003208A4" w:rsidRPr="00092EC9" w:rsidRDefault="003208A4" w:rsidP="003208A4">
      <w:pPr>
        <w:ind w:left="360"/>
        <w:rPr>
          <w:color w:val="A6A6A6" w:themeColor="background1" w:themeShade="A6"/>
          <w:lang w:bidi="ar-SA"/>
        </w:rPr>
      </w:pPr>
      <w:r w:rsidRPr="005361C9">
        <w:rPr>
          <w:lang w:bidi="ar-SA"/>
        </w:rPr>
        <w:t xml:space="preserve">where </w:t>
      </w:r>
      <w:r w:rsidRPr="005361C9">
        <w:rPr>
          <w:i/>
          <w:lang w:bidi="ar-SA"/>
        </w:rPr>
        <w:t>SE</w:t>
      </w:r>
      <w:r w:rsidRPr="005361C9">
        <w:rPr>
          <w:i/>
          <w:vertAlign w:val="subscript"/>
          <w:lang w:bidi="ar-SA"/>
        </w:rPr>
        <w:t>1</w:t>
      </w:r>
      <w:r w:rsidRPr="005361C9">
        <w:rPr>
          <w:lang w:bidi="ar-SA"/>
        </w:rPr>
        <w:t xml:space="preserve"> and </w:t>
      </w:r>
      <w:r w:rsidRPr="005361C9">
        <w:rPr>
          <w:i/>
          <w:lang w:bidi="ar-SA"/>
        </w:rPr>
        <w:t>SE</w:t>
      </w:r>
      <w:r w:rsidRPr="005361C9">
        <w:rPr>
          <w:i/>
          <w:vertAlign w:val="subscript"/>
          <w:lang w:bidi="ar-SA"/>
        </w:rPr>
        <w:t>2</w:t>
      </w:r>
      <w:r w:rsidRPr="005361C9">
        <w:rPr>
          <w:lang w:bidi="ar-SA"/>
        </w:rPr>
        <w:t xml:space="preserve"> are the sample standard errors </w:t>
      </w:r>
      <w:r>
        <w:rPr>
          <w:lang w:bidi="ar-SA"/>
        </w:rPr>
        <w:t xml:space="preserve">of the change </w:t>
      </w:r>
      <w:r w:rsidRPr="005361C9">
        <w:rPr>
          <w:lang w:bidi="ar-SA"/>
        </w:rPr>
        <w:t xml:space="preserve">over time (from baseline to </w:t>
      </w:r>
      <w:r w:rsidR="007F0E9F">
        <w:rPr>
          <w:lang w:bidi="ar-SA"/>
        </w:rPr>
        <w:t>follow-up</w:t>
      </w:r>
      <w:r w:rsidRPr="005361C9">
        <w:rPr>
          <w:lang w:bidi="ar-SA"/>
        </w:rPr>
        <w:t>)</w:t>
      </w:r>
      <w:r>
        <w:rPr>
          <w:lang w:bidi="ar-SA"/>
        </w:rPr>
        <w:t xml:space="preserve"> for the </w:t>
      </w:r>
      <w:r w:rsidRPr="005361C9">
        <w:rPr>
          <w:lang w:bidi="ar-SA"/>
        </w:rPr>
        <w:t>intervention and placebo</w:t>
      </w:r>
      <w:r>
        <w:rPr>
          <w:lang w:bidi="ar-SA"/>
        </w:rPr>
        <w:t xml:space="preserve"> conditions</w:t>
      </w:r>
      <w:r w:rsidRPr="005361C9">
        <w:rPr>
          <w:lang w:bidi="ar-SA"/>
        </w:rPr>
        <w:t>, respectiv</w:t>
      </w:r>
      <w:r w:rsidRPr="009A0F61">
        <w:rPr>
          <w:lang w:bidi="ar-SA"/>
        </w:rPr>
        <w:t xml:space="preserve">ely, and </w:t>
      </w:r>
      <w:r w:rsidRPr="009A0F61">
        <w:rPr>
          <w:i/>
          <w:lang w:bidi="ar-SA"/>
        </w:rPr>
        <w:t xml:space="preserve">r </w:t>
      </w:r>
      <w:r w:rsidRPr="009A0F61">
        <w:rPr>
          <w:lang w:bidi="ar-SA"/>
        </w:rPr>
        <w:t>is the correlation</w:t>
      </w:r>
      <w:r>
        <w:rPr>
          <w:lang w:bidi="ar-SA"/>
        </w:rPr>
        <w:t xml:space="preserve"> coefficient</w:t>
      </w:r>
      <w:r w:rsidRPr="009A0F61">
        <w:rPr>
          <w:lang w:bidi="ar-SA"/>
        </w:rPr>
        <w:t>.</w:t>
      </w:r>
    </w:p>
    <w:p w14:paraId="739F6695" w14:textId="2A875E1A" w:rsidR="003208A4" w:rsidRPr="00BC039C" w:rsidRDefault="003208A4" w:rsidP="003208A4">
      <w:pPr>
        <w:rPr>
          <w:rFonts w:cs="Arial"/>
          <w:lang w:eastAsia="en-AU"/>
        </w:rPr>
      </w:pPr>
      <w:r w:rsidRPr="00BC039C">
        <w:rPr>
          <w:rFonts w:cs="Arial"/>
          <w:lang w:eastAsia="en-AU"/>
        </w:rPr>
        <w:t>A correlation coefficient (</w:t>
      </w:r>
      <w:r w:rsidRPr="009B4A67">
        <w:rPr>
          <w:rFonts w:cs="Arial"/>
          <w:i/>
          <w:lang w:eastAsia="en-AU"/>
        </w:rPr>
        <w:t>r</w:t>
      </w:r>
      <w:r w:rsidRPr="00BC039C">
        <w:rPr>
          <w:rFonts w:cs="Arial"/>
          <w:lang w:eastAsia="en-AU"/>
        </w:rPr>
        <w:t xml:space="preserve">) of 0.8 was used as the correlation between repeated measures of all </w:t>
      </w:r>
      <w:r w:rsidR="00BB6693">
        <w:rPr>
          <w:rFonts w:cs="Arial"/>
          <w:lang w:eastAsia="en-AU"/>
        </w:rPr>
        <w:t>lipid</w:t>
      </w:r>
      <w:r w:rsidRPr="00BC039C">
        <w:rPr>
          <w:rFonts w:cs="Arial"/>
          <w:lang w:eastAsia="en-AU"/>
        </w:rPr>
        <w:t xml:space="preserve"> </w:t>
      </w:r>
      <w:r w:rsidR="00BB6693">
        <w:rPr>
          <w:rFonts w:cs="Arial"/>
          <w:lang w:eastAsia="en-AU"/>
        </w:rPr>
        <w:t>outcomes (total, LDL-, and HDL-</w:t>
      </w:r>
      <w:r>
        <w:rPr>
          <w:rFonts w:cs="Arial"/>
          <w:lang w:eastAsia="en-AU"/>
        </w:rPr>
        <w:t xml:space="preserve">cholesterol, and </w:t>
      </w:r>
      <w:r>
        <w:rPr>
          <w:rFonts w:cs="Arial"/>
          <w:szCs w:val="22"/>
        </w:rPr>
        <w:t>tr</w:t>
      </w:r>
      <w:r w:rsidRPr="005A6ADE">
        <w:rPr>
          <w:rFonts w:cs="Arial"/>
          <w:szCs w:val="22"/>
        </w:rPr>
        <w:t>ig</w:t>
      </w:r>
      <w:r>
        <w:rPr>
          <w:rFonts w:cs="Arial"/>
          <w:szCs w:val="22"/>
        </w:rPr>
        <w:t>l</w:t>
      </w:r>
      <w:r w:rsidRPr="005A6ADE">
        <w:rPr>
          <w:rFonts w:cs="Arial"/>
          <w:szCs w:val="22"/>
        </w:rPr>
        <w:t>ycerides</w:t>
      </w:r>
      <w:r>
        <w:rPr>
          <w:rFonts w:cs="Arial"/>
          <w:szCs w:val="22"/>
        </w:rPr>
        <w:t xml:space="preserve"> </w:t>
      </w:r>
      <w:r>
        <w:rPr>
          <w:rFonts w:cs="Arial"/>
          <w:lang w:eastAsia="en-AU"/>
        </w:rPr>
        <w:t xml:space="preserve">presented in Table </w:t>
      </w:r>
      <w:r w:rsidR="00A65AE0">
        <w:rPr>
          <w:rFonts w:cs="Arial"/>
          <w:lang w:eastAsia="en-AU"/>
        </w:rPr>
        <w:t>3</w:t>
      </w:r>
      <w:r>
        <w:rPr>
          <w:rFonts w:cs="Arial"/>
          <w:szCs w:val="22"/>
        </w:rPr>
        <w:t xml:space="preserve">; </w:t>
      </w:r>
      <w:r w:rsidRPr="00BC039C">
        <w:rPr>
          <w:rFonts w:cs="Arial"/>
          <w:lang w:eastAsia="en-AU"/>
        </w:rPr>
        <w:t>Demonty et al. 2009; FSANZ 2010</w:t>
      </w:r>
      <w:r>
        <w:rPr>
          <w:rFonts w:cs="Arial"/>
          <w:lang w:eastAsia="en-AU"/>
        </w:rPr>
        <w:t xml:space="preserve">) </w:t>
      </w:r>
      <w:r w:rsidRPr="00BC039C">
        <w:rPr>
          <w:rFonts w:cs="Arial"/>
          <w:lang w:eastAsia="en-AU"/>
        </w:rPr>
        <w:t>and</w:t>
      </w:r>
      <w:r>
        <w:rPr>
          <w:rFonts w:cs="Arial"/>
          <w:lang w:eastAsia="en-AU"/>
        </w:rPr>
        <w:t xml:space="preserve"> </w:t>
      </w:r>
      <w:r>
        <w:rPr>
          <w:rFonts w:cs="Arial"/>
          <w:i/>
          <w:lang w:eastAsia="en-AU"/>
        </w:rPr>
        <w:t>r</w:t>
      </w:r>
      <w:r>
        <w:rPr>
          <w:rFonts w:cs="Arial"/>
          <w:lang w:eastAsia="en-AU"/>
        </w:rPr>
        <w:t>=0.6 for</w:t>
      </w:r>
      <w:r w:rsidRPr="00BC039C">
        <w:rPr>
          <w:rFonts w:cs="Arial"/>
          <w:lang w:eastAsia="en-AU"/>
        </w:rPr>
        <w:t xml:space="preserve"> </w:t>
      </w:r>
      <w:r>
        <w:rPr>
          <w:rFonts w:cs="Arial"/>
          <w:lang w:eastAsia="en-AU"/>
        </w:rPr>
        <w:t>three g</w:t>
      </w:r>
      <w:r w:rsidRPr="00BC039C">
        <w:rPr>
          <w:rFonts w:cs="Arial"/>
          <w:lang w:eastAsia="en-AU"/>
        </w:rPr>
        <w:t>lucose</w:t>
      </w:r>
      <w:r w:rsidR="00BB6693">
        <w:rPr>
          <w:rFonts w:cs="Arial"/>
          <w:lang w:eastAsia="en-AU"/>
        </w:rPr>
        <w:t>-related</w:t>
      </w:r>
      <w:r w:rsidRPr="00BC039C">
        <w:rPr>
          <w:rFonts w:cs="Arial"/>
          <w:lang w:eastAsia="en-AU"/>
        </w:rPr>
        <w:t xml:space="preserve"> outcomes</w:t>
      </w:r>
      <w:r>
        <w:rPr>
          <w:rFonts w:cs="Arial"/>
          <w:lang w:eastAsia="en-AU"/>
        </w:rPr>
        <w:t xml:space="preserve"> (glucose, insulin, and HbA</w:t>
      </w:r>
      <w:r>
        <w:rPr>
          <w:rFonts w:cs="Arial"/>
          <w:vertAlign w:val="subscript"/>
          <w:lang w:eastAsia="en-AU"/>
        </w:rPr>
        <w:t>1C</w:t>
      </w:r>
      <w:r w:rsidRPr="00BC039C">
        <w:rPr>
          <w:rFonts w:cs="Arial"/>
          <w:lang w:eastAsia="en-AU"/>
        </w:rPr>
        <w:t xml:space="preserve"> presented in Table </w:t>
      </w:r>
      <w:r w:rsidR="00A65AE0">
        <w:rPr>
          <w:rFonts w:cs="Arial"/>
          <w:lang w:eastAsia="en-AU"/>
        </w:rPr>
        <w:t>4</w:t>
      </w:r>
      <w:r>
        <w:rPr>
          <w:rFonts w:cs="Arial"/>
          <w:lang w:eastAsia="en-AU"/>
        </w:rPr>
        <w:t xml:space="preserve">; based on unpublished capillary blood glucose data, as described by </w:t>
      </w:r>
      <w:r w:rsidRPr="00C555E9">
        <w:rPr>
          <w:rFonts w:cs="Arial"/>
          <w:lang w:eastAsia="en-AU"/>
        </w:rPr>
        <w:t>FSANZ 2016 p.</w:t>
      </w:r>
      <w:r w:rsidR="00545D8D">
        <w:rPr>
          <w:rFonts w:cs="Arial"/>
          <w:lang w:eastAsia="en-AU"/>
        </w:rPr>
        <w:t xml:space="preserve"> </w:t>
      </w:r>
      <w:r w:rsidRPr="00C555E9">
        <w:rPr>
          <w:rFonts w:cs="Arial"/>
          <w:lang w:eastAsia="en-AU"/>
        </w:rPr>
        <w:t>5).</w:t>
      </w:r>
    </w:p>
    <w:p w14:paraId="452F573E" w14:textId="77777777" w:rsidR="003208A4" w:rsidRDefault="003208A4" w:rsidP="003208A4">
      <w:pPr>
        <w:rPr>
          <w:rFonts w:cs="Arial"/>
          <w:lang w:eastAsia="en-AU"/>
        </w:rPr>
      </w:pPr>
    </w:p>
    <w:p w14:paraId="4432BBC4" w14:textId="418F1C75" w:rsidR="003208A4" w:rsidRDefault="003208A4" w:rsidP="003208A4">
      <w:pPr>
        <w:rPr>
          <w:rFonts w:cs="Arial"/>
          <w:lang w:eastAsia="en-AU"/>
        </w:rPr>
      </w:pPr>
      <w:r>
        <w:rPr>
          <w:rFonts w:cs="Arial"/>
          <w:lang w:eastAsia="en-AU"/>
        </w:rPr>
        <w:t xml:space="preserve">Another parallel study (Canfora et al. 2017) reported the </w:t>
      </w:r>
      <w:r>
        <w:rPr>
          <w:lang w:bidi="ar-SA"/>
        </w:rPr>
        <w:t>standard deviation at bot</w:t>
      </w:r>
      <w:r w:rsidR="00BB6693">
        <w:rPr>
          <w:lang w:bidi="ar-SA"/>
        </w:rPr>
        <w:t xml:space="preserve">h baseline and </w:t>
      </w:r>
      <w:r w:rsidR="007F0E9F">
        <w:rPr>
          <w:lang w:bidi="ar-SA"/>
        </w:rPr>
        <w:t>follow-up</w:t>
      </w:r>
      <w:r w:rsidR="00BB6693">
        <w:rPr>
          <w:lang w:bidi="ar-SA"/>
        </w:rPr>
        <w:t xml:space="preserve"> for </w:t>
      </w:r>
      <w:r>
        <w:rPr>
          <w:lang w:bidi="ar-SA"/>
        </w:rPr>
        <w:t>triglyceride and glucose-</w:t>
      </w:r>
      <w:r w:rsidR="00BB6693">
        <w:rPr>
          <w:lang w:bidi="ar-SA"/>
        </w:rPr>
        <w:t>related outcomes</w:t>
      </w:r>
      <w:r>
        <w:rPr>
          <w:lang w:bidi="ar-SA"/>
        </w:rPr>
        <w:t xml:space="preserve"> (</w:t>
      </w:r>
      <w:r w:rsidRPr="00F139BF">
        <w:rPr>
          <w:rFonts w:cs="Arial"/>
          <w:lang w:eastAsia="en-AU"/>
        </w:rPr>
        <w:t>glucose, insulin</w:t>
      </w:r>
      <w:r>
        <w:rPr>
          <w:rFonts w:cs="Arial"/>
          <w:lang w:eastAsia="en-AU"/>
        </w:rPr>
        <w:t>, and HOMA-IR)</w:t>
      </w:r>
      <w:r>
        <w:rPr>
          <w:lang w:bidi="ar-SA"/>
        </w:rPr>
        <w:t xml:space="preserve">. </w:t>
      </w:r>
      <w:r>
        <w:rPr>
          <w:rFonts w:cs="Arial"/>
          <w:lang w:eastAsia="en-AU"/>
        </w:rPr>
        <w:t>We calculated t</w:t>
      </w:r>
      <w:r>
        <w:rPr>
          <w:lang w:bidi="ar-SA"/>
        </w:rPr>
        <w:t>he standard error of the difference between groups over time using formulae 7 to 11, using a correlation coefficient (</w:t>
      </w:r>
      <w:r>
        <w:rPr>
          <w:i/>
          <w:lang w:bidi="ar-SA"/>
        </w:rPr>
        <w:t>r</w:t>
      </w:r>
      <w:r>
        <w:rPr>
          <w:lang w:bidi="ar-SA"/>
        </w:rPr>
        <w:t xml:space="preserve">) between repeated measures of 0.8 and 0.6 for the </w:t>
      </w:r>
      <w:r w:rsidR="00BB6693">
        <w:rPr>
          <w:lang w:bidi="ar-SA"/>
        </w:rPr>
        <w:t>triglyceride</w:t>
      </w:r>
      <w:r>
        <w:rPr>
          <w:lang w:bidi="ar-SA"/>
        </w:rPr>
        <w:t xml:space="preserve"> and glucose-related outcomes, respectively.</w:t>
      </w:r>
    </w:p>
    <w:p w14:paraId="695A2AAA" w14:textId="77777777" w:rsidR="003208A4" w:rsidRPr="00DB61EF" w:rsidRDefault="003208A4" w:rsidP="003208A4">
      <w:pPr>
        <w:rPr>
          <w:rFonts w:cs="Arial"/>
          <w:lang w:eastAsia="en-AU"/>
        </w:rPr>
      </w:pPr>
    </w:p>
    <w:p w14:paraId="43239B24" w14:textId="77777777" w:rsidR="003208A4" w:rsidRPr="00013193" w:rsidRDefault="003208A4" w:rsidP="003208A4">
      <w:pPr>
        <w:ind w:left="360"/>
        <w:rPr>
          <w:lang w:bidi="ar-SA"/>
        </w:rPr>
      </w:pPr>
    </w:p>
    <w:p w14:paraId="480396AF" w14:textId="77777777" w:rsidR="003208A4" w:rsidRDefault="003208A4" w:rsidP="003208A4">
      <w:pPr>
        <w:rPr>
          <w:rFonts w:cs="Arial"/>
          <w:i/>
          <w:lang w:eastAsia="en-AU"/>
        </w:rPr>
      </w:pPr>
      <w:r>
        <w:rPr>
          <w:rFonts w:cs="Arial"/>
          <w:i/>
          <w:lang w:eastAsia="en-AU"/>
        </w:rPr>
        <w:t>Statistical analyses</w:t>
      </w:r>
    </w:p>
    <w:p w14:paraId="4CB892E9" w14:textId="280DD39F" w:rsidR="003208A4" w:rsidRDefault="003208A4" w:rsidP="003208A4">
      <w:pPr>
        <w:rPr>
          <w:lang w:eastAsia="en-AU"/>
        </w:rPr>
      </w:pPr>
      <w:r w:rsidRPr="00013193">
        <w:rPr>
          <w:rFonts w:cs="Arial"/>
          <w:lang w:eastAsia="en-AU"/>
        </w:rPr>
        <w:t>Meta</w:t>
      </w:r>
      <w:r>
        <w:rPr>
          <w:rFonts w:cs="Arial"/>
          <w:lang w:eastAsia="en-AU"/>
        </w:rPr>
        <w:t>-analyses were conducted in Review Manager 5.3,</w:t>
      </w:r>
      <w:r>
        <w:t xml:space="preserve"> developed by The Cochrane Collaboration (The Nordic Cochrane Centre 2014)</w:t>
      </w:r>
      <w:r>
        <w:rPr>
          <w:lang w:eastAsia="en-AU"/>
        </w:rPr>
        <w:t xml:space="preserve">. </w:t>
      </w:r>
      <w:r w:rsidRPr="00507B82">
        <w:rPr>
          <w:lang w:eastAsia="en-AU"/>
        </w:rPr>
        <w:t xml:space="preserve">Meta-analysis was performed </w:t>
      </w:r>
      <w:r w:rsidRPr="00507B82">
        <w:t>using a random ef</w:t>
      </w:r>
      <w:r>
        <w:t>fects model and generic inverse-</w:t>
      </w:r>
      <w:r w:rsidRPr="00507B82">
        <w:t>variance method.</w:t>
      </w:r>
      <w:r>
        <w:t xml:space="preserve"> </w:t>
      </w:r>
      <w:r w:rsidRPr="00507B82">
        <w:t>I</w:t>
      </w:r>
      <w:r w:rsidRPr="00507B82">
        <w:rPr>
          <w:vertAlign w:val="superscript"/>
        </w:rPr>
        <w:t>2</w:t>
      </w:r>
      <w:r w:rsidRPr="00507B82">
        <w:t xml:space="preserve"> was used to assess </w:t>
      </w:r>
      <w:r>
        <w:t xml:space="preserve">heterogeneity </w:t>
      </w:r>
      <w:r w:rsidRPr="00F74D02">
        <w:t>b</w:t>
      </w:r>
      <w:r>
        <w:t>etween interventions</w:t>
      </w:r>
      <w:r w:rsidRPr="00F74D02">
        <w:t xml:space="preserve">. It </w:t>
      </w:r>
      <w:r>
        <w:t xml:space="preserve">describes the “percentage of total variation across studies that is </w:t>
      </w:r>
      <w:r w:rsidR="00D50F10">
        <w:t xml:space="preserve">not due to </w:t>
      </w:r>
      <w:r>
        <w:t xml:space="preserve">chance” and 0%, 25%, 50% and 75% could be interpreted as indicating no, low, medium, and high heterogeneity respectively (Higgins et al. 2003). No meta-regression or sub-group analyses were conducted due to the small </w:t>
      </w:r>
      <w:r w:rsidR="00BB6F18">
        <w:t xml:space="preserve">number of included studies, </w:t>
      </w:r>
      <w:r w:rsidR="00BB6F18">
        <w:rPr>
          <w:lang w:bidi="ar-SA"/>
        </w:rPr>
        <w:t>intake</w:t>
      </w:r>
      <w:r>
        <w:t xml:space="preserve"> levels, and populations to compare. </w:t>
      </w:r>
    </w:p>
    <w:p w14:paraId="5FE8DE97" w14:textId="77777777" w:rsidR="003208A4" w:rsidRDefault="003208A4" w:rsidP="003208A4">
      <w:pPr>
        <w:rPr>
          <w:rFonts w:cs="Arial"/>
          <w:lang w:eastAsia="en-AU"/>
        </w:rPr>
      </w:pPr>
    </w:p>
    <w:p w14:paraId="7DCE90FF" w14:textId="3DD40667" w:rsidR="003208A4" w:rsidRPr="00B57DAF" w:rsidRDefault="003208A4" w:rsidP="00B57DAF">
      <w:pPr>
        <w:rPr>
          <w:rFonts w:cs="Arial"/>
          <w:lang w:eastAsia="en-AU"/>
        </w:rPr>
      </w:pPr>
      <w:r>
        <w:rPr>
          <w:rFonts w:cs="Arial"/>
          <w:lang w:eastAsia="en-AU"/>
        </w:rPr>
        <w:t>The mean difference and its standard error of each comparison, together with the sample size for the intervention and control groups, was entered directly into Review Manager 5.3. Two of three studies measuring stool weight included two or three inter</w:t>
      </w:r>
      <w:r w:rsidR="002103F1">
        <w:rPr>
          <w:rFonts w:cs="Arial"/>
          <w:lang w:eastAsia="en-AU"/>
        </w:rPr>
        <w:t>vention arms (Alles et al. 1999</w:t>
      </w:r>
      <w:r>
        <w:rPr>
          <w:rFonts w:cs="Arial"/>
          <w:lang w:eastAsia="en-AU"/>
        </w:rPr>
        <w:t xml:space="preserve"> and Ito et al. 1990, respectively). To prevent double counting of the control group, we planned to include just one intervention arm; sele</w:t>
      </w:r>
      <w:r w:rsidR="00BB6F18">
        <w:rPr>
          <w:rFonts w:cs="Arial"/>
          <w:lang w:eastAsia="en-AU"/>
        </w:rPr>
        <w:t xml:space="preserve">cting the arm that tested an </w:t>
      </w:r>
      <w:r w:rsidR="00BB6F18">
        <w:rPr>
          <w:lang w:bidi="ar-SA"/>
        </w:rPr>
        <w:t>intake</w:t>
      </w:r>
      <w:r>
        <w:rPr>
          <w:rFonts w:cs="Arial"/>
          <w:lang w:eastAsia="en-AU"/>
        </w:rPr>
        <w:t xml:space="preserve"> </w:t>
      </w:r>
      <w:r w:rsidRPr="000F0DDD">
        <w:rPr>
          <w:rFonts w:cs="Arial"/>
          <w:szCs w:val="22"/>
          <w:lang w:eastAsia="en-AU"/>
        </w:rPr>
        <w:t>level closest to what is consumed in a normal diet</w:t>
      </w:r>
      <w:r w:rsidR="00BE6C84">
        <w:rPr>
          <w:rFonts w:cs="Arial"/>
          <w:szCs w:val="22"/>
          <w:lang w:eastAsia="en-AU"/>
        </w:rPr>
        <w:t xml:space="preserve"> (i.e. typ</w:t>
      </w:r>
      <w:r w:rsidR="00BB6F18">
        <w:rPr>
          <w:rFonts w:cs="Arial"/>
          <w:szCs w:val="22"/>
          <w:lang w:eastAsia="en-AU"/>
        </w:rPr>
        <w:t xml:space="preserve">ically the arm with the lowest </w:t>
      </w:r>
      <w:r w:rsidR="00BB6F18">
        <w:rPr>
          <w:lang w:bidi="ar-SA"/>
        </w:rPr>
        <w:t>intake</w:t>
      </w:r>
      <w:r w:rsidR="00BE6C84">
        <w:rPr>
          <w:rFonts w:cs="Arial"/>
          <w:szCs w:val="22"/>
          <w:lang w:eastAsia="en-AU"/>
        </w:rPr>
        <w:t xml:space="preserve"> level)</w:t>
      </w:r>
      <w:r w:rsidRPr="000F0DDD">
        <w:rPr>
          <w:rFonts w:cs="Arial"/>
          <w:szCs w:val="22"/>
          <w:lang w:eastAsia="en-AU"/>
        </w:rPr>
        <w:t>. The</w:t>
      </w:r>
      <w:r>
        <w:rPr>
          <w:rFonts w:cs="Arial"/>
          <w:lang w:eastAsia="en-AU"/>
        </w:rPr>
        <w:t xml:space="preserve"> mean differences are, however, very different in size and direction </w:t>
      </w:r>
      <w:r w:rsidR="000919A2">
        <w:rPr>
          <w:rFonts w:cs="Arial"/>
          <w:lang w:eastAsia="en-AU"/>
        </w:rPr>
        <w:t xml:space="preserve">across the different intervention groups </w:t>
      </w:r>
      <w:r>
        <w:rPr>
          <w:rFonts w:cs="Arial"/>
          <w:lang w:eastAsia="en-AU"/>
        </w:rPr>
        <w:t>(</w:t>
      </w:r>
      <w:r w:rsidR="00BE6C84">
        <w:rPr>
          <w:rFonts w:cs="Arial"/>
          <w:lang w:eastAsia="en-AU"/>
        </w:rPr>
        <w:t xml:space="preserve">e.g. </w:t>
      </w:r>
      <w:r>
        <w:rPr>
          <w:rFonts w:cs="Arial"/>
          <w:lang w:eastAsia="en-AU"/>
        </w:rPr>
        <w:t xml:space="preserve">see Table </w:t>
      </w:r>
      <w:r w:rsidR="00A65AE0">
        <w:rPr>
          <w:rFonts w:cs="Arial"/>
          <w:lang w:eastAsia="en-AU"/>
        </w:rPr>
        <w:t>2</w:t>
      </w:r>
      <w:r>
        <w:rPr>
          <w:rFonts w:cs="Arial"/>
          <w:lang w:eastAsia="en-AU"/>
        </w:rPr>
        <w:t xml:space="preserve">) and omitting some arms </w:t>
      </w:r>
      <w:r w:rsidR="000919A2">
        <w:rPr>
          <w:rFonts w:cs="Arial"/>
          <w:lang w:eastAsia="en-AU"/>
        </w:rPr>
        <w:t xml:space="preserve">may increase the risk of biasing </w:t>
      </w:r>
      <w:r>
        <w:rPr>
          <w:rFonts w:cs="Arial"/>
          <w:lang w:eastAsia="en-AU"/>
        </w:rPr>
        <w:t xml:space="preserve">the outcome of the analysis. For this reason, we included all pair-wise comparisons and divided the shared control </w:t>
      </w:r>
      <w:r>
        <w:rPr>
          <w:rFonts w:cs="Arial"/>
          <w:lang w:eastAsia="en-AU"/>
        </w:rPr>
        <w:lastRenderedPageBreak/>
        <w:t>groups’ sample size evenly among the comparis</w:t>
      </w:r>
      <w:r w:rsidR="00463EBD">
        <w:rPr>
          <w:rFonts w:cs="Arial"/>
          <w:lang w:eastAsia="en-AU"/>
        </w:rPr>
        <w:t>ons. For example, for the cross</w:t>
      </w:r>
      <w:r>
        <w:rPr>
          <w:rFonts w:cs="Arial"/>
          <w:lang w:eastAsia="en-AU"/>
        </w:rPr>
        <w:t>over study by Ito et al. (1990; n=12 with three pair-wise comparisons), we entered n=4</w:t>
      </w:r>
      <w:r w:rsidR="00BE6C84">
        <w:rPr>
          <w:rFonts w:cs="Arial"/>
          <w:lang w:eastAsia="en-AU"/>
        </w:rPr>
        <w:t xml:space="preserve"> (control</w:t>
      </w:r>
      <w:r>
        <w:rPr>
          <w:rFonts w:cs="Arial"/>
          <w:lang w:eastAsia="en-AU"/>
        </w:rPr>
        <w:t>=12 divided by 3). Likewise, for Alles et al. (1999; parallel trial with two comparisons of independent groups), the shared control (n=13) was entered as n=7 in the meta-analysis.</w:t>
      </w:r>
    </w:p>
    <w:sectPr w:rsidR="003208A4" w:rsidRPr="00B57DAF" w:rsidSect="00CC5A0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C02F" w14:textId="77777777" w:rsidR="00972A73" w:rsidRDefault="00972A73">
      <w:r>
        <w:separator/>
      </w:r>
    </w:p>
  </w:endnote>
  <w:endnote w:type="continuationSeparator" w:id="0">
    <w:p w14:paraId="053B8D80" w14:textId="77777777" w:rsidR="00972A73" w:rsidRDefault="00972A73">
      <w:r>
        <w:continuationSeparator/>
      </w:r>
    </w:p>
  </w:endnote>
  <w:endnote w:type="continuationNotice" w:id="1">
    <w:p w14:paraId="791B8290" w14:textId="77777777" w:rsidR="00972A73" w:rsidRDefault="00972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1CA1387F" w:rsidR="00972A73" w:rsidRDefault="00972A73" w:rsidP="00FF4A7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972A73" w:rsidRDefault="00972A73" w:rsidP="00C3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6ED59797" w:rsidR="00972A73" w:rsidRDefault="00972A7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2D7">
      <w:rPr>
        <w:rStyle w:val="PageNumber"/>
        <w:noProof/>
      </w:rPr>
      <w:t>i</w:t>
    </w:r>
    <w:r>
      <w:rPr>
        <w:rStyle w:val="PageNumber"/>
      </w:rPr>
      <w:fldChar w:fldCharType="end"/>
    </w:r>
  </w:p>
  <w:p w14:paraId="7C4636D5" w14:textId="77777777" w:rsidR="00972A73" w:rsidRDefault="00972A73" w:rsidP="00C342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984F" w14:textId="77777777" w:rsidR="00972A73" w:rsidRDefault="00972A73">
      <w:r>
        <w:separator/>
      </w:r>
    </w:p>
  </w:footnote>
  <w:footnote w:type="continuationSeparator" w:id="0">
    <w:p w14:paraId="374E9D55" w14:textId="77777777" w:rsidR="00972A73" w:rsidRDefault="00972A73">
      <w:r>
        <w:continuationSeparator/>
      </w:r>
    </w:p>
  </w:footnote>
  <w:footnote w:type="continuationNotice" w:id="1">
    <w:p w14:paraId="5540F6B8" w14:textId="77777777" w:rsidR="00972A73" w:rsidRDefault="00972A73"/>
  </w:footnote>
  <w:footnote w:id="2">
    <w:p w14:paraId="4B71B67E" w14:textId="3F84AE88" w:rsidR="00972A73" w:rsidRPr="00727D72" w:rsidRDefault="00972A73" w:rsidP="002A381C">
      <w:pPr>
        <w:pStyle w:val="FootnoteText"/>
        <w:rPr>
          <w:lang w:val="en-AU"/>
        </w:rPr>
      </w:pPr>
      <w:r>
        <w:rPr>
          <w:rStyle w:val="FootnoteReference"/>
        </w:rPr>
        <w:footnoteRef/>
      </w:r>
      <w:r>
        <w:t xml:space="preserve"> SACN (2008) reports a 1.9 g and 0.3 g difference in stool weight </w:t>
      </w:r>
      <w:r w:rsidRPr="00B4577F">
        <w:rPr>
          <w:rFonts w:cs="Arial"/>
        </w:rPr>
        <w:t>per gram of test fibre</w:t>
      </w:r>
      <w:r>
        <w:rPr>
          <w:rFonts w:cs="Arial"/>
        </w:rPr>
        <w:t xml:space="preserve"> for the low and high </w:t>
      </w:r>
      <w:r>
        <w:rPr>
          <w:lang w:bidi="ar-SA"/>
        </w:rPr>
        <w:t>intake</w:t>
      </w:r>
      <w:r>
        <w:rPr>
          <w:rFonts w:cs="Arial"/>
        </w:rPr>
        <w:t xml:space="preserve"> GOS condition, respectively, compared to the placebo. Our respective values are a 2.6 g and 0.2 g difference in stool weight per gram of test fibre.</w:t>
      </w:r>
    </w:p>
  </w:footnote>
  <w:footnote w:id="3">
    <w:p w14:paraId="5D2FEB13" w14:textId="77777777" w:rsidR="00972A73" w:rsidRPr="004808E4" w:rsidRDefault="00972A73" w:rsidP="009E745B">
      <w:pPr>
        <w:pStyle w:val="FootnoteText"/>
        <w:rPr>
          <w:lang w:val="en-AU"/>
        </w:rPr>
      </w:pPr>
      <w:r w:rsidRPr="004808E4">
        <w:rPr>
          <w:rStyle w:val="FootnoteReference"/>
        </w:rPr>
        <w:footnoteRef/>
      </w:r>
      <w:r w:rsidRPr="004808E4">
        <w:t xml:space="preserve"> Two </w:t>
      </w:r>
      <w:r w:rsidRPr="004808E4">
        <w:rPr>
          <w:i/>
        </w:rPr>
        <w:t>P</w:t>
      </w:r>
      <w:r w:rsidRPr="004808E4">
        <w:t xml:space="preserve"> values are provided by </w:t>
      </w:r>
      <w:r w:rsidRPr="004808E4">
        <w:rPr>
          <w:lang w:bidi="ar-SA"/>
        </w:rPr>
        <w:t>Vulevic et al. (2013)</w:t>
      </w:r>
      <w:r w:rsidRPr="004808E4">
        <w:t xml:space="preserve">: </w:t>
      </w:r>
      <w:r w:rsidRPr="004808E4">
        <w:rPr>
          <w:i/>
        </w:rPr>
        <w:t>P</w:t>
      </w:r>
      <w:r w:rsidRPr="004808E4">
        <w:t>&lt;0.0001 (tabulated)</w:t>
      </w:r>
      <w:r>
        <w:t>;</w:t>
      </w:r>
      <w:r w:rsidRPr="004808E4">
        <w:t xml:space="preserve"> and</w:t>
      </w:r>
      <w:r>
        <w:t>,</w:t>
      </w:r>
      <w:r w:rsidRPr="004808E4">
        <w:t xml:space="preserve"> </w:t>
      </w:r>
      <w:r w:rsidRPr="004808E4">
        <w:rPr>
          <w:i/>
        </w:rPr>
        <w:t>P</w:t>
      </w:r>
      <w:r w:rsidRPr="004808E4">
        <w:t>&lt;0.001 (in text).</w:t>
      </w:r>
    </w:p>
  </w:footnote>
  <w:footnote w:id="4">
    <w:p w14:paraId="125A2214" w14:textId="77777777" w:rsidR="00972A73" w:rsidRPr="00060759" w:rsidRDefault="00972A73" w:rsidP="009E745B">
      <w:pPr>
        <w:pStyle w:val="FootnoteText"/>
        <w:rPr>
          <w:lang w:val="en-AU"/>
        </w:rPr>
      </w:pPr>
      <w:r w:rsidRPr="004808E4">
        <w:rPr>
          <w:rStyle w:val="FootnoteReference"/>
        </w:rPr>
        <w:footnoteRef/>
      </w:r>
      <w:r w:rsidRPr="004808E4">
        <w:t xml:space="preserve"> Two </w:t>
      </w:r>
      <w:r w:rsidRPr="004808E4">
        <w:rPr>
          <w:i/>
        </w:rPr>
        <w:t>P</w:t>
      </w:r>
      <w:r w:rsidRPr="004808E4">
        <w:t xml:space="preserve"> values are provided by </w:t>
      </w:r>
      <w:r w:rsidRPr="004808E4">
        <w:rPr>
          <w:lang w:bidi="ar-SA"/>
        </w:rPr>
        <w:t>Vulevic et al. (2013)</w:t>
      </w:r>
      <w:r w:rsidRPr="004808E4">
        <w:t xml:space="preserve">: </w:t>
      </w:r>
      <w:r w:rsidRPr="004808E4">
        <w:rPr>
          <w:i/>
        </w:rPr>
        <w:t>P</w:t>
      </w:r>
      <w:r w:rsidRPr="004808E4">
        <w:t>&lt;0.005 (tabulated)</w:t>
      </w:r>
      <w:r>
        <w:t>;</w:t>
      </w:r>
      <w:r w:rsidRPr="004808E4">
        <w:t xml:space="preserve"> and</w:t>
      </w:r>
      <w:r>
        <w:t>,</w:t>
      </w:r>
      <w:r w:rsidRPr="004808E4">
        <w:t xml:space="preserve"> </w:t>
      </w:r>
      <w:r w:rsidRPr="004808E4">
        <w:rPr>
          <w:i/>
        </w:rPr>
        <w:t>P</w:t>
      </w:r>
      <w:r w:rsidRPr="004808E4">
        <w:t>&lt;0.0005 (in text).</w:t>
      </w:r>
    </w:p>
  </w:footnote>
  <w:footnote w:id="5">
    <w:p w14:paraId="656391AF" w14:textId="77777777" w:rsidR="00972A73" w:rsidRPr="00FD4368" w:rsidRDefault="00972A73" w:rsidP="006B4D80">
      <w:pPr>
        <w:pStyle w:val="FootnoteText"/>
        <w:rPr>
          <w:lang w:val="en-AU"/>
        </w:rPr>
      </w:pPr>
      <w:r w:rsidRPr="007F4A3D">
        <w:rPr>
          <w:rStyle w:val="FootnoteReference"/>
        </w:rPr>
        <w:footnoteRef/>
      </w:r>
      <w:r w:rsidRPr="007F4A3D">
        <w:t xml:space="preserve"> </w:t>
      </w:r>
      <w:r w:rsidRPr="007F4A3D">
        <w:rPr>
          <w:lang w:val="en-AU"/>
        </w:rPr>
        <w:t xml:space="preserve">Note that </w:t>
      </w:r>
      <w:r w:rsidRPr="007F4A3D">
        <w:rPr>
          <w:i/>
          <w:lang w:val="en-AU"/>
        </w:rPr>
        <w:t xml:space="preserve">P </w:t>
      </w:r>
      <w:r w:rsidRPr="007F4A3D">
        <w:rPr>
          <w:lang w:val="en-AU"/>
        </w:rPr>
        <w:t xml:space="preserve">values were corrected for multiple testing and significance was set at </w:t>
      </w:r>
      <w:r w:rsidRPr="007F4A3D">
        <w:rPr>
          <w:i/>
          <w:lang w:val="en-AU"/>
        </w:rPr>
        <w:t>P</w:t>
      </w:r>
      <w:r w:rsidRPr="007F4A3D">
        <w:rPr>
          <w:lang w:val="en-AU"/>
        </w:rPr>
        <w:t>&lt;0.005 after Bonferroni adjustment.</w:t>
      </w:r>
    </w:p>
  </w:footnote>
  <w:footnote w:id="6">
    <w:p w14:paraId="2F51A14D" w14:textId="034BC0BA" w:rsidR="00972A73" w:rsidRPr="00D24ADE" w:rsidRDefault="00972A73" w:rsidP="00515599">
      <w:pPr>
        <w:pStyle w:val="FootnoteText"/>
        <w:rPr>
          <w:lang w:val="en-AU"/>
        </w:rPr>
      </w:pPr>
      <w:r w:rsidRPr="00D24ADE">
        <w:rPr>
          <w:rStyle w:val="FootnoteReference"/>
        </w:rPr>
        <w:footnoteRef/>
      </w:r>
      <w:r w:rsidRPr="00D24ADE">
        <w:t xml:space="preserve"> </w:t>
      </w:r>
      <w:r w:rsidRPr="004430C1">
        <w:rPr>
          <w:lang w:bidi="ar-SA"/>
        </w:rPr>
        <w:t xml:space="preserve">Table </w:t>
      </w:r>
      <w:r>
        <w:rPr>
          <w:lang w:bidi="ar-SA"/>
        </w:rPr>
        <w:t>4 (see Section 1.4.1)</w:t>
      </w:r>
      <w:r w:rsidRPr="004430C1">
        <w:rPr>
          <w:lang w:bidi="ar-SA"/>
        </w:rPr>
        <w:t xml:space="preserve"> presents</w:t>
      </w:r>
      <w:r w:rsidRPr="00D24ADE">
        <w:rPr>
          <w:lang w:bidi="ar-SA"/>
        </w:rPr>
        <w:t xml:space="preserve"> the pre-intervention plasma ins</w:t>
      </w:r>
      <w:r>
        <w:rPr>
          <w:lang w:bidi="ar-SA"/>
        </w:rPr>
        <w:t>ulin data extracted from Table 3</w:t>
      </w:r>
      <w:r w:rsidRPr="00D24ADE">
        <w:rPr>
          <w:lang w:bidi="ar-SA"/>
        </w:rPr>
        <w:t xml:space="preserve"> of Canfora et al. (2017). This differs to the baseline values presented in Table 1 by Canfora et al. (2017), which likely reflect data from the screening phase. The </w:t>
      </w:r>
      <w:r w:rsidRPr="00D24ADE">
        <w:rPr>
          <w:i/>
          <w:lang w:bidi="ar-SA"/>
        </w:rPr>
        <w:t>P</w:t>
      </w:r>
      <w:r w:rsidRPr="00D24ADE">
        <w:rPr>
          <w:i/>
        </w:rPr>
        <w:t xml:space="preserve"> </w:t>
      </w:r>
      <w:r w:rsidRPr="00D24ADE">
        <w:t xml:space="preserve">value of 0.721 pertains to the latter </w:t>
      </w:r>
      <w:r>
        <w:t xml:space="preserve">values from Table 1 </w:t>
      </w:r>
      <w:r w:rsidRPr="00D24ADE">
        <w:rPr>
          <w:lang w:bidi="ar-SA"/>
        </w:rPr>
        <w:t>(mean</w:t>
      </w:r>
      <w:r w:rsidRPr="00D24ADE">
        <w:t xml:space="preserve"> ± </w:t>
      </w:r>
      <w:r w:rsidRPr="00D24ADE">
        <w:rPr>
          <w:lang w:bidi="ar-SA"/>
        </w:rPr>
        <w:t xml:space="preserve">SD: 19.1 </w:t>
      </w:r>
      <w:r w:rsidRPr="00D24ADE">
        <w:rPr>
          <w:rFonts w:cs="Arial"/>
          <w:lang w:bidi="ar-SA"/>
        </w:rPr>
        <w:t>± 7.2 mU/L</w:t>
      </w:r>
      <w:r w:rsidRPr="00D24ADE">
        <w:rPr>
          <w:lang w:bidi="ar-SA"/>
        </w:rPr>
        <w:t xml:space="preserve"> and 20.7 </w:t>
      </w:r>
      <w:r w:rsidRPr="00D24ADE">
        <w:rPr>
          <w:rFonts w:cs="Arial"/>
          <w:lang w:bidi="ar-SA"/>
        </w:rPr>
        <w:t>± 6.7 mU/L</w:t>
      </w:r>
      <w:r w:rsidRPr="00D24ADE">
        <w:rPr>
          <w:lang w:bidi="ar-SA"/>
        </w:rPr>
        <w:t xml:space="preserve"> for the placebo and intervention,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71DFB8E3" w:rsidR="00972A73" w:rsidRDefault="00972A7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B71"/>
    <w:multiLevelType w:val="hybridMultilevel"/>
    <w:tmpl w:val="F116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D0225"/>
    <w:multiLevelType w:val="multilevel"/>
    <w:tmpl w:val="E7B254A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86AF6"/>
    <w:multiLevelType w:val="hybridMultilevel"/>
    <w:tmpl w:val="A7B0AF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BC55BF"/>
    <w:multiLevelType w:val="hybridMultilevel"/>
    <w:tmpl w:val="A4280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C07093"/>
    <w:multiLevelType w:val="hybridMultilevel"/>
    <w:tmpl w:val="0654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423D"/>
    <w:multiLevelType w:val="hybridMultilevel"/>
    <w:tmpl w:val="C9C0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651E6"/>
    <w:multiLevelType w:val="hybridMultilevel"/>
    <w:tmpl w:val="1A5A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62A2C"/>
    <w:multiLevelType w:val="hybridMultilevel"/>
    <w:tmpl w:val="4754E314"/>
    <w:lvl w:ilvl="0" w:tplc="0809000F">
      <w:start w:val="1"/>
      <w:numFmt w:val="decimal"/>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E4BF8"/>
    <w:multiLevelType w:val="hybridMultilevel"/>
    <w:tmpl w:val="D7045782"/>
    <w:lvl w:ilvl="0" w:tplc="42FE94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4DB"/>
    <w:multiLevelType w:val="hybridMultilevel"/>
    <w:tmpl w:val="8720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A59FC"/>
    <w:multiLevelType w:val="hybridMultilevel"/>
    <w:tmpl w:val="AA7862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6FE6E6F"/>
    <w:multiLevelType w:val="hybridMultilevel"/>
    <w:tmpl w:val="3CB09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FD46E3"/>
    <w:multiLevelType w:val="hybridMultilevel"/>
    <w:tmpl w:val="3FD8BACE"/>
    <w:lvl w:ilvl="0" w:tplc="EF38E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114EA"/>
    <w:multiLevelType w:val="hybridMultilevel"/>
    <w:tmpl w:val="4E50C4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1093201"/>
    <w:multiLevelType w:val="hybridMultilevel"/>
    <w:tmpl w:val="AE62823C"/>
    <w:lvl w:ilvl="0" w:tplc="082A96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7C64820"/>
    <w:multiLevelType w:val="hybridMultilevel"/>
    <w:tmpl w:val="2F3A1632"/>
    <w:lvl w:ilvl="0" w:tplc="43E076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F470C"/>
    <w:multiLevelType w:val="hybridMultilevel"/>
    <w:tmpl w:val="B26C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079FF"/>
    <w:multiLevelType w:val="hybridMultilevel"/>
    <w:tmpl w:val="05B0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762D4"/>
    <w:multiLevelType w:val="hybridMultilevel"/>
    <w:tmpl w:val="7708D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0148A5"/>
    <w:multiLevelType w:val="hybridMultilevel"/>
    <w:tmpl w:val="5BA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71396"/>
    <w:multiLevelType w:val="hybridMultilevel"/>
    <w:tmpl w:val="1C38EE8A"/>
    <w:lvl w:ilvl="0" w:tplc="3E6626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E03E2"/>
    <w:multiLevelType w:val="hybridMultilevel"/>
    <w:tmpl w:val="9DA095A0"/>
    <w:lvl w:ilvl="0" w:tplc="84BED9D0">
      <w:start w:val="2"/>
      <w:numFmt w:val="lowerLetter"/>
      <w:lvlText w:val="(%1)"/>
      <w:lvlJc w:val="left"/>
      <w:pPr>
        <w:ind w:left="1120" w:hanging="7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5D2F14"/>
    <w:multiLevelType w:val="hybridMultilevel"/>
    <w:tmpl w:val="A75C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75F0E"/>
    <w:multiLevelType w:val="hybridMultilevel"/>
    <w:tmpl w:val="C36822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8674CF0"/>
    <w:multiLevelType w:val="hybridMultilevel"/>
    <w:tmpl w:val="73B41A72"/>
    <w:lvl w:ilvl="0" w:tplc="828A565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5E349D"/>
    <w:multiLevelType w:val="hybridMultilevel"/>
    <w:tmpl w:val="13CA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
  </w:num>
  <w:num w:numId="4">
    <w:abstractNumId w:val="24"/>
  </w:num>
  <w:num w:numId="5">
    <w:abstractNumId w:val="27"/>
  </w:num>
  <w:num w:numId="6">
    <w:abstractNumId w:val="20"/>
  </w:num>
  <w:num w:numId="7">
    <w:abstractNumId w:val="8"/>
  </w:num>
  <w:num w:numId="8">
    <w:abstractNumId w:val="6"/>
  </w:num>
  <w:num w:numId="9">
    <w:abstractNumId w:val="25"/>
  </w:num>
  <w:num w:numId="10">
    <w:abstractNumId w:val="5"/>
  </w:num>
  <w:num w:numId="11">
    <w:abstractNumId w:val="11"/>
  </w:num>
  <w:num w:numId="12">
    <w:abstractNumId w:val="2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8"/>
  </w:num>
  <w:num w:numId="16">
    <w:abstractNumId w:val="13"/>
  </w:num>
  <w:num w:numId="17">
    <w:abstractNumId w:val="14"/>
  </w:num>
  <w:num w:numId="18">
    <w:abstractNumId w:val="7"/>
  </w:num>
  <w:num w:numId="19">
    <w:abstractNumId w:val="19"/>
  </w:num>
  <w:num w:numId="20">
    <w:abstractNumId w:val="0"/>
  </w:num>
  <w:num w:numId="21">
    <w:abstractNumId w:val="18"/>
  </w:num>
  <w:num w:numId="22">
    <w:abstractNumId w:val="16"/>
  </w:num>
  <w:num w:numId="23">
    <w:abstractNumId w:val="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6"/>
  </w:num>
  <w:num w:numId="27">
    <w:abstractNumId w:val="4"/>
  </w:num>
  <w:num w:numId="28">
    <w:abstractNumId w:val="9"/>
  </w:num>
  <w:num w:numId="2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80E"/>
    <w:rsid w:val="00000977"/>
    <w:rsid w:val="00001CF2"/>
    <w:rsid w:val="0000247B"/>
    <w:rsid w:val="000024ED"/>
    <w:rsid w:val="000034D5"/>
    <w:rsid w:val="000039D9"/>
    <w:rsid w:val="000045F3"/>
    <w:rsid w:val="0000469B"/>
    <w:rsid w:val="00004A44"/>
    <w:rsid w:val="0000544B"/>
    <w:rsid w:val="000076A6"/>
    <w:rsid w:val="00007C43"/>
    <w:rsid w:val="000103D7"/>
    <w:rsid w:val="000105D8"/>
    <w:rsid w:val="0001251F"/>
    <w:rsid w:val="0001288C"/>
    <w:rsid w:val="00012D0F"/>
    <w:rsid w:val="00013193"/>
    <w:rsid w:val="000132B1"/>
    <w:rsid w:val="0001359E"/>
    <w:rsid w:val="00014177"/>
    <w:rsid w:val="00014353"/>
    <w:rsid w:val="000156A1"/>
    <w:rsid w:val="000158D3"/>
    <w:rsid w:val="00015CEA"/>
    <w:rsid w:val="0001605E"/>
    <w:rsid w:val="00016145"/>
    <w:rsid w:val="00016160"/>
    <w:rsid w:val="000164B7"/>
    <w:rsid w:val="00016520"/>
    <w:rsid w:val="000177A6"/>
    <w:rsid w:val="000200EB"/>
    <w:rsid w:val="00020750"/>
    <w:rsid w:val="00020C36"/>
    <w:rsid w:val="0002187D"/>
    <w:rsid w:val="00021D7B"/>
    <w:rsid w:val="00022829"/>
    <w:rsid w:val="00022B9F"/>
    <w:rsid w:val="00023619"/>
    <w:rsid w:val="00023FF0"/>
    <w:rsid w:val="0002476A"/>
    <w:rsid w:val="000248B3"/>
    <w:rsid w:val="0002492C"/>
    <w:rsid w:val="00025896"/>
    <w:rsid w:val="00027FC3"/>
    <w:rsid w:val="00030CC7"/>
    <w:rsid w:val="00031B20"/>
    <w:rsid w:val="00031C1D"/>
    <w:rsid w:val="00031F19"/>
    <w:rsid w:val="0003223C"/>
    <w:rsid w:val="00033008"/>
    <w:rsid w:val="000332EF"/>
    <w:rsid w:val="00034228"/>
    <w:rsid w:val="00034E8E"/>
    <w:rsid w:val="000352ED"/>
    <w:rsid w:val="000359FC"/>
    <w:rsid w:val="00035FF3"/>
    <w:rsid w:val="000361AB"/>
    <w:rsid w:val="00036EDF"/>
    <w:rsid w:val="00037BB5"/>
    <w:rsid w:val="00040652"/>
    <w:rsid w:val="00041901"/>
    <w:rsid w:val="00041B64"/>
    <w:rsid w:val="00041ED7"/>
    <w:rsid w:val="00042BC7"/>
    <w:rsid w:val="00042EBB"/>
    <w:rsid w:val="00042F20"/>
    <w:rsid w:val="000437A4"/>
    <w:rsid w:val="000445B4"/>
    <w:rsid w:val="00044AB3"/>
    <w:rsid w:val="0004542E"/>
    <w:rsid w:val="000474B7"/>
    <w:rsid w:val="00050AE7"/>
    <w:rsid w:val="00050FEC"/>
    <w:rsid w:val="00051021"/>
    <w:rsid w:val="00051733"/>
    <w:rsid w:val="000518DA"/>
    <w:rsid w:val="00051ED9"/>
    <w:rsid w:val="00052393"/>
    <w:rsid w:val="00052C3E"/>
    <w:rsid w:val="00053A9B"/>
    <w:rsid w:val="00054F00"/>
    <w:rsid w:val="00055969"/>
    <w:rsid w:val="0005616B"/>
    <w:rsid w:val="00057181"/>
    <w:rsid w:val="00057622"/>
    <w:rsid w:val="00057635"/>
    <w:rsid w:val="00057A4D"/>
    <w:rsid w:val="0006040E"/>
    <w:rsid w:val="00060759"/>
    <w:rsid w:val="000609D9"/>
    <w:rsid w:val="000621A5"/>
    <w:rsid w:val="000629DA"/>
    <w:rsid w:val="000634D8"/>
    <w:rsid w:val="0006473A"/>
    <w:rsid w:val="00064B2D"/>
    <w:rsid w:val="000652CA"/>
    <w:rsid w:val="00065793"/>
    <w:rsid w:val="00065F1F"/>
    <w:rsid w:val="000663E9"/>
    <w:rsid w:val="000678B3"/>
    <w:rsid w:val="00067DBD"/>
    <w:rsid w:val="00070662"/>
    <w:rsid w:val="0007130A"/>
    <w:rsid w:val="00071420"/>
    <w:rsid w:val="00072171"/>
    <w:rsid w:val="0007240D"/>
    <w:rsid w:val="00072F92"/>
    <w:rsid w:val="00073CF8"/>
    <w:rsid w:val="00073F2D"/>
    <w:rsid w:val="00074BAA"/>
    <w:rsid w:val="000757A5"/>
    <w:rsid w:val="000760C6"/>
    <w:rsid w:val="00076D33"/>
    <w:rsid w:val="00076E06"/>
    <w:rsid w:val="000772EF"/>
    <w:rsid w:val="00077BAB"/>
    <w:rsid w:val="00080043"/>
    <w:rsid w:val="00080132"/>
    <w:rsid w:val="0008135D"/>
    <w:rsid w:val="0008160E"/>
    <w:rsid w:val="00082220"/>
    <w:rsid w:val="00082876"/>
    <w:rsid w:val="0008323A"/>
    <w:rsid w:val="000848D0"/>
    <w:rsid w:val="000860FB"/>
    <w:rsid w:val="000864BE"/>
    <w:rsid w:val="00087F13"/>
    <w:rsid w:val="000919A2"/>
    <w:rsid w:val="00092CDA"/>
    <w:rsid w:val="00092D76"/>
    <w:rsid w:val="00092D9B"/>
    <w:rsid w:val="00092EC9"/>
    <w:rsid w:val="00093A66"/>
    <w:rsid w:val="00093B04"/>
    <w:rsid w:val="00093E6A"/>
    <w:rsid w:val="00094A5A"/>
    <w:rsid w:val="0009522E"/>
    <w:rsid w:val="000953FE"/>
    <w:rsid w:val="00096877"/>
    <w:rsid w:val="00096897"/>
    <w:rsid w:val="00097B09"/>
    <w:rsid w:val="00097BE5"/>
    <w:rsid w:val="00097F3A"/>
    <w:rsid w:val="000A039C"/>
    <w:rsid w:val="000A0D2D"/>
    <w:rsid w:val="000A0E71"/>
    <w:rsid w:val="000A14B4"/>
    <w:rsid w:val="000A172D"/>
    <w:rsid w:val="000A27E9"/>
    <w:rsid w:val="000A33BB"/>
    <w:rsid w:val="000A3D8B"/>
    <w:rsid w:val="000A42AF"/>
    <w:rsid w:val="000A47FC"/>
    <w:rsid w:val="000A4D09"/>
    <w:rsid w:val="000A5D3C"/>
    <w:rsid w:val="000A5D90"/>
    <w:rsid w:val="000A5DF8"/>
    <w:rsid w:val="000A7247"/>
    <w:rsid w:val="000A73F4"/>
    <w:rsid w:val="000B0B87"/>
    <w:rsid w:val="000B206D"/>
    <w:rsid w:val="000B29C9"/>
    <w:rsid w:val="000B3371"/>
    <w:rsid w:val="000B3877"/>
    <w:rsid w:val="000B40BC"/>
    <w:rsid w:val="000B4128"/>
    <w:rsid w:val="000B426E"/>
    <w:rsid w:val="000B4275"/>
    <w:rsid w:val="000B52FB"/>
    <w:rsid w:val="000B6ADE"/>
    <w:rsid w:val="000B6AF2"/>
    <w:rsid w:val="000B6EFB"/>
    <w:rsid w:val="000B7375"/>
    <w:rsid w:val="000B7B2B"/>
    <w:rsid w:val="000C2FDF"/>
    <w:rsid w:val="000C55DF"/>
    <w:rsid w:val="000C666A"/>
    <w:rsid w:val="000C695C"/>
    <w:rsid w:val="000C70CF"/>
    <w:rsid w:val="000C7252"/>
    <w:rsid w:val="000C78A9"/>
    <w:rsid w:val="000C7C89"/>
    <w:rsid w:val="000D0217"/>
    <w:rsid w:val="000D2D49"/>
    <w:rsid w:val="000D3746"/>
    <w:rsid w:val="000D3CF3"/>
    <w:rsid w:val="000D5115"/>
    <w:rsid w:val="000D525D"/>
    <w:rsid w:val="000D6153"/>
    <w:rsid w:val="000D62AF"/>
    <w:rsid w:val="000D6B54"/>
    <w:rsid w:val="000D6E66"/>
    <w:rsid w:val="000D6FD4"/>
    <w:rsid w:val="000D7419"/>
    <w:rsid w:val="000E0AE4"/>
    <w:rsid w:val="000E15A1"/>
    <w:rsid w:val="000E17BD"/>
    <w:rsid w:val="000E1A04"/>
    <w:rsid w:val="000E1F7A"/>
    <w:rsid w:val="000E2BF9"/>
    <w:rsid w:val="000E3277"/>
    <w:rsid w:val="000E3641"/>
    <w:rsid w:val="000E3D16"/>
    <w:rsid w:val="000E3DBC"/>
    <w:rsid w:val="000E3F34"/>
    <w:rsid w:val="000E4167"/>
    <w:rsid w:val="000E496C"/>
    <w:rsid w:val="000E526E"/>
    <w:rsid w:val="000E5371"/>
    <w:rsid w:val="000E5401"/>
    <w:rsid w:val="000E5499"/>
    <w:rsid w:val="000E6123"/>
    <w:rsid w:val="000E782D"/>
    <w:rsid w:val="000E78CD"/>
    <w:rsid w:val="000E7B99"/>
    <w:rsid w:val="000F09A1"/>
    <w:rsid w:val="000F0DDD"/>
    <w:rsid w:val="000F38CA"/>
    <w:rsid w:val="000F4BC4"/>
    <w:rsid w:val="000F56AC"/>
    <w:rsid w:val="000F5A1D"/>
    <w:rsid w:val="000F66B0"/>
    <w:rsid w:val="000F6ECE"/>
    <w:rsid w:val="000F7848"/>
    <w:rsid w:val="000F7E62"/>
    <w:rsid w:val="00100424"/>
    <w:rsid w:val="00100E7C"/>
    <w:rsid w:val="00100EEF"/>
    <w:rsid w:val="00101A77"/>
    <w:rsid w:val="00103477"/>
    <w:rsid w:val="00103C77"/>
    <w:rsid w:val="00103DBB"/>
    <w:rsid w:val="00104134"/>
    <w:rsid w:val="00105817"/>
    <w:rsid w:val="0010589D"/>
    <w:rsid w:val="00105DE0"/>
    <w:rsid w:val="0010634E"/>
    <w:rsid w:val="001063B5"/>
    <w:rsid w:val="00106D86"/>
    <w:rsid w:val="00110FFF"/>
    <w:rsid w:val="00113718"/>
    <w:rsid w:val="00113BEA"/>
    <w:rsid w:val="00113CE3"/>
    <w:rsid w:val="001151B5"/>
    <w:rsid w:val="00115691"/>
    <w:rsid w:val="00116996"/>
    <w:rsid w:val="00116C26"/>
    <w:rsid w:val="00116DC6"/>
    <w:rsid w:val="00117522"/>
    <w:rsid w:val="001175C6"/>
    <w:rsid w:val="0011769D"/>
    <w:rsid w:val="00117BCA"/>
    <w:rsid w:val="00120829"/>
    <w:rsid w:val="00120C82"/>
    <w:rsid w:val="00121434"/>
    <w:rsid w:val="00121D0B"/>
    <w:rsid w:val="00121DA0"/>
    <w:rsid w:val="001221B0"/>
    <w:rsid w:val="00122D68"/>
    <w:rsid w:val="00123B26"/>
    <w:rsid w:val="00124050"/>
    <w:rsid w:val="00124186"/>
    <w:rsid w:val="00125C74"/>
    <w:rsid w:val="00125FDB"/>
    <w:rsid w:val="00126704"/>
    <w:rsid w:val="001276BE"/>
    <w:rsid w:val="00130CDC"/>
    <w:rsid w:val="0013200D"/>
    <w:rsid w:val="001326CF"/>
    <w:rsid w:val="00132759"/>
    <w:rsid w:val="00132F17"/>
    <w:rsid w:val="00134B34"/>
    <w:rsid w:val="00135BF5"/>
    <w:rsid w:val="00136651"/>
    <w:rsid w:val="001369F0"/>
    <w:rsid w:val="00137199"/>
    <w:rsid w:val="00137251"/>
    <w:rsid w:val="00140A44"/>
    <w:rsid w:val="00141CE4"/>
    <w:rsid w:val="0014246E"/>
    <w:rsid w:val="0014370A"/>
    <w:rsid w:val="001439E4"/>
    <w:rsid w:val="00143BC2"/>
    <w:rsid w:val="00144001"/>
    <w:rsid w:val="001440B8"/>
    <w:rsid w:val="001441BB"/>
    <w:rsid w:val="0014507D"/>
    <w:rsid w:val="00150B25"/>
    <w:rsid w:val="0015190E"/>
    <w:rsid w:val="00152357"/>
    <w:rsid w:val="0015242E"/>
    <w:rsid w:val="00152B79"/>
    <w:rsid w:val="00152FBE"/>
    <w:rsid w:val="00153AB3"/>
    <w:rsid w:val="00153C6E"/>
    <w:rsid w:val="00153DA3"/>
    <w:rsid w:val="00153DC7"/>
    <w:rsid w:val="001540C3"/>
    <w:rsid w:val="001540EC"/>
    <w:rsid w:val="001542D8"/>
    <w:rsid w:val="0015692E"/>
    <w:rsid w:val="00160610"/>
    <w:rsid w:val="00160F74"/>
    <w:rsid w:val="0016196D"/>
    <w:rsid w:val="00163557"/>
    <w:rsid w:val="00163A88"/>
    <w:rsid w:val="00164E6A"/>
    <w:rsid w:val="00165E9D"/>
    <w:rsid w:val="00166646"/>
    <w:rsid w:val="00166CE1"/>
    <w:rsid w:val="00170531"/>
    <w:rsid w:val="0017063C"/>
    <w:rsid w:val="00171B14"/>
    <w:rsid w:val="00171B30"/>
    <w:rsid w:val="00171DD4"/>
    <w:rsid w:val="001721FE"/>
    <w:rsid w:val="001722BD"/>
    <w:rsid w:val="00172449"/>
    <w:rsid w:val="00174807"/>
    <w:rsid w:val="00174DC0"/>
    <w:rsid w:val="001752B0"/>
    <w:rsid w:val="001754CC"/>
    <w:rsid w:val="00175A66"/>
    <w:rsid w:val="0017615C"/>
    <w:rsid w:val="00176BAD"/>
    <w:rsid w:val="00176CE8"/>
    <w:rsid w:val="0017735B"/>
    <w:rsid w:val="00180BB5"/>
    <w:rsid w:val="00180C41"/>
    <w:rsid w:val="001818BC"/>
    <w:rsid w:val="00181B32"/>
    <w:rsid w:val="00181E95"/>
    <w:rsid w:val="00181F98"/>
    <w:rsid w:val="0018213D"/>
    <w:rsid w:val="001824FF"/>
    <w:rsid w:val="00182C4C"/>
    <w:rsid w:val="001836E5"/>
    <w:rsid w:val="00183849"/>
    <w:rsid w:val="00183CB1"/>
    <w:rsid w:val="0018496A"/>
    <w:rsid w:val="00185490"/>
    <w:rsid w:val="00185649"/>
    <w:rsid w:val="00185760"/>
    <w:rsid w:val="00186C59"/>
    <w:rsid w:val="00186D74"/>
    <w:rsid w:val="00187B0F"/>
    <w:rsid w:val="00190051"/>
    <w:rsid w:val="001900C7"/>
    <w:rsid w:val="001918B8"/>
    <w:rsid w:val="00191F61"/>
    <w:rsid w:val="001929E1"/>
    <w:rsid w:val="00192B74"/>
    <w:rsid w:val="00193684"/>
    <w:rsid w:val="0019517F"/>
    <w:rsid w:val="00195433"/>
    <w:rsid w:val="00195DEC"/>
    <w:rsid w:val="001964FC"/>
    <w:rsid w:val="001976D2"/>
    <w:rsid w:val="00197D8D"/>
    <w:rsid w:val="001A0ADA"/>
    <w:rsid w:val="001A0CDC"/>
    <w:rsid w:val="001A0FC4"/>
    <w:rsid w:val="001A1A75"/>
    <w:rsid w:val="001A2635"/>
    <w:rsid w:val="001A29C4"/>
    <w:rsid w:val="001A379D"/>
    <w:rsid w:val="001A3C3C"/>
    <w:rsid w:val="001A3E74"/>
    <w:rsid w:val="001A4FE6"/>
    <w:rsid w:val="001A55C5"/>
    <w:rsid w:val="001A59EB"/>
    <w:rsid w:val="001A5A3B"/>
    <w:rsid w:val="001A5B61"/>
    <w:rsid w:val="001A6CD9"/>
    <w:rsid w:val="001A73F9"/>
    <w:rsid w:val="001A76DD"/>
    <w:rsid w:val="001A7949"/>
    <w:rsid w:val="001A7E9A"/>
    <w:rsid w:val="001B0600"/>
    <w:rsid w:val="001B0759"/>
    <w:rsid w:val="001B145C"/>
    <w:rsid w:val="001B1ACF"/>
    <w:rsid w:val="001B2457"/>
    <w:rsid w:val="001B4B49"/>
    <w:rsid w:val="001B4EF6"/>
    <w:rsid w:val="001B6264"/>
    <w:rsid w:val="001B69A4"/>
    <w:rsid w:val="001B701A"/>
    <w:rsid w:val="001B70AF"/>
    <w:rsid w:val="001B75A2"/>
    <w:rsid w:val="001C0AA6"/>
    <w:rsid w:val="001C115C"/>
    <w:rsid w:val="001C16EF"/>
    <w:rsid w:val="001C1AE3"/>
    <w:rsid w:val="001C1B96"/>
    <w:rsid w:val="001C24A9"/>
    <w:rsid w:val="001C27A3"/>
    <w:rsid w:val="001C2A3B"/>
    <w:rsid w:val="001C3634"/>
    <w:rsid w:val="001C366F"/>
    <w:rsid w:val="001C373E"/>
    <w:rsid w:val="001C3DA4"/>
    <w:rsid w:val="001C5017"/>
    <w:rsid w:val="001C5295"/>
    <w:rsid w:val="001C6146"/>
    <w:rsid w:val="001C6F34"/>
    <w:rsid w:val="001C70D7"/>
    <w:rsid w:val="001C7EC7"/>
    <w:rsid w:val="001D0944"/>
    <w:rsid w:val="001D1E8B"/>
    <w:rsid w:val="001D3A23"/>
    <w:rsid w:val="001E0238"/>
    <w:rsid w:val="001E02AA"/>
    <w:rsid w:val="001E09FA"/>
    <w:rsid w:val="001E0A5B"/>
    <w:rsid w:val="001E0B4D"/>
    <w:rsid w:val="001E1D2B"/>
    <w:rsid w:val="001E291D"/>
    <w:rsid w:val="001E2D4C"/>
    <w:rsid w:val="001E34BE"/>
    <w:rsid w:val="001E4279"/>
    <w:rsid w:val="001E4B8D"/>
    <w:rsid w:val="001E5392"/>
    <w:rsid w:val="001E56EE"/>
    <w:rsid w:val="001E781C"/>
    <w:rsid w:val="001F0264"/>
    <w:rsid w:val="001F10BC"/>
    <w:rsid w:val="001F13F9"/>
    <w:rsid w:val="001F1D9E"/>
    <w:rsid w:val="001F224D"/>
    <w:rsid w:val="001F2C9E"/>
    <w:rsid w:val="001F4699"/>
    <w:rsid w:val="001F49E4"/>
    <w:rsid w:val="001F4A5F"/>
    <w:rsid w:val="001F4E9E"/>
    <w:rsid w:val="001F5263"/>
    <w:rsid w:val="001F530C"/>
    <w:rsid w:val="001F55A8"/>
    <w:rsid w:val="001F5FCC"/>
    <w:rsid w:val="001F775B"/>
    <w:rsid w:val="00200FD8"/>
    <w:rsid w:val="002012B3"/>
    <w:rsid w:val="0020135E"/>
    <w:rsid w:val="00202F5F"/>
    <w:rsid w:val="002031CE"/>
    <w:rsid w:val="00203540"/>
    <w:rsid w:val="00204296"/>
    <w:rsid w:val="002051E8"/>
    <w:rsid w:val="00207711"/>
    <w:rsid w:val="002078F5"/>
    <w:rsid w:val="00207C3B"/>
    <w:rsid w:val="002103F1"/>
    <w:rsid w:val="00211922"/>
    <w:rsid w:val="00211A9E"/>
    <w:rsid w:val="00211BB3"/>
    <w:rsid w:val="0021260E"/>
    <w:rsid w:val="00212914"/>
    <w:rsid w:val="002131C1"/>
    <w:rsid w:val="0021612B"/>
    <w:rsid w:val="00217240"/>
    <w:rsid w:val="0022083A"/>
    <w:rsid w:val="00221394"/>
    <w:rsid w:val="00221A65"/>
    <w:rsid w:val="00221D07"/>
    <w:rsid w:val="00222055"/>
    <w:rsid w:val="002231F5"/>
    <w:rsid w:val="00224343"/>
    <w:rsid w:val="002246FF"/>
    <w:rsid w:val="00224CE6"/>
    <w:rsid w:val="00225A44"/>
    <w:rsid w:val="00225BA0"/>
    <w:rsid w:val="00227D72"/>
    <w:rsid w:val="00227E4A"/>
    <w:rsid w:val="00227ED0"/>
    <w:rsid w:val="00230CDF"/>
    <w:rsid w:val="00232EB7"/>
    <w:rsid w:val="002330C6"/>
    <w:rsid w:val="00233A60"/>
    <w:rsid w:val="00233EB3"/>
    <w:rsid w:val="00234082"/>
    <w:rsid w:val="00234942"/>
    <w:rsid w:val="00235A64"/>
    <w:rsid w:val="002366B1"/>
    <w:rsid w:val="00236902"/>
    <w:rsid w:val="00237BE3"/>
    <w:rsid w:val="002413AB"/>
    <w:rsid w:val="00242050"/>
    <w:rsid w:val="00242980"/>
    <w:rsid w:val="00242C67"/>
    <w:rsid w:val="002435F0"/>
    <w:rsid w:val="00243CCF"/>
    <w:rsid w:val="002440A9"/>
    <w:rsid w:val="0024582E"/>
    <w:rsid w:val="00245A2C"/>
    <w:rsid w:val="00245C56"/>
    <w:rsid w:val="0024613F"/>
    <w:rsid w:val="002465A2"/>
    <w:rsid w:val="00246B53"/>
    <w:rsid w:val="00246ECE"/>
    <w:rsid w:val="00247D5D"/>
    <w:rsid w:val="00250B18"/>
    <w:rsid w:val="0025124F"/>
    <w:rsid w:val="0025199B"/>
    <w:rsid w:val="002522F9"/>
    <w:rsid w:val="0025278D"/>
    <w:rsid w:val="00253536"/>
    <w:rsid w:val="00253DB6"/>
    <w:rsid w:val="002547EF"/>
    <w:rsid w:val="00255E05"/>
    <w:rsid w:val="00256666"/>
    <w:rsid w:val="00256B30"/>
    <w:rsid w:val="00256D65"/>
    <w:rsid w:val="00257960"/>
    <w:rsid w:val="002603CE"/>
    <w:rsid w:val="00260FDC"/>
    <w:rsid w:val="00261D74"/>
    <w:rsid w:val="00262576"/>
    <w:rsid w:val="00262673"/>
    <w:rsid w:val="00262F79"/>
    <w:rsid w:val="00263117"/>
    <w:rsid w:val="0026313B"/>
    <w:rsid w:val="00263BC8"/>
    <w:rsid w:val="00263E61"/>
    <w:rsid w:val="002649DE"/>
    <w:rsid w:val="00264E81"/>
    <w:rsid w:val="0026669C"/>
    <w:rsid w:val="00266CA9"/>
    <w:rsid w:val="002676E2"/>
    <w:rsid w:val="002679C3"/>
    <w:rsid w:val="002716FE"/>
    <w:rsid w:val="00271F00"/>
    <w:rsid w:val="00273169"/>
    <w:rsid w:val="002732C7"/>
    <w:rsid w:val="00273A80"/>
    <w:rsid w:val="002751B0"/>
    <w:rsid w:val="00275FE1"/>
    <w:rsid w:val="00276BAE"/>
    <w:rsid w:val="002802B6"/>
    <w:rsid w:val="0028062D"/>
    <w:rsid w:val="00280E29"/>
    <w:rsid w:val="00281748"/>
    <w:rsid w:val="002822BC"/>
    <w:rsid w:val="0028285B"/>
    <w:rsid w:val="002828F6"/>
    <w:rsid w:val="0028316D"/>
    <w:rsid w:val="002859AB"/>
    <w:rsid w:val="002860CF"/>
    <w:rsid w:val="0028649B"/>
    <w:rsid w:val="00286CF1"/>
    <w:rsid w:val="00287244"/>
    <w:rsid w:val="002877D1"/>
    <w:rsid w:val="00287996"/>
    <w:rsid w:val="00287BC2"/>
    <w:rsid w:val="0029050A"/>
    <w:rsid w:val="0029083D"/>
    <w:rsid w:val="0029102C"/>
    <w:rsid w:val="00291098"/>
    <w:rsid w:val="00291301"/>
    <w:rsid w:val="0029204E"/>
    <w:rsid w:val="00292B17"/>
    <w:rsid w:val="00293D8B"/>
    <w:rsid w:val="00294018"/>
    <w:rsid w:val="0029493E"/>
    <w:rsid w:val="00294F50"/>
    <w:rsid w:val="002956DE"/>
    <w:rsid w:val="00295D40"/>
    <w:rsid w:val="002960D7"/>
    <w:rsid w:val="0029631C"/>
    <w:rsid w:val="00296552"/>
    <w:rsid w:val="00296B6D"/>
    <w:rsid w:val="0029775E"/>
    <w:rsid w:val="00297D26"/>
    <w:rsid w:val="002A0194"/>
    <w:rsid w:val="002A1484"/>
    <w:rsid w:val="002A1C39"/>
    <w:rsid w:val="002A2B4C"/>
    <w:rsid w:val="002A2FBB"/>
    <w:rsid w:val="002A3314"/>
    <w:rsid w:val="002A35B4"/>
    <w:rsid w:val="002A381C"/>
    <w:rsid w:val="002A3C07"/>
    <w:rsid w:val="002A410E"/>
    <w:rsid w:val="002A422D"/>
    <w:rsid w:val="002A4523"/>
    <w:rsid w:val="002A5F8B"/>
    <w:rsid w:val="002A61CE"/>
    <w:rsid w:val="002A6A5B"/>
    <w:rsid w:val="002A6AD1"/>
    <w:rsid w:val="002A79ED"/>
    <w:rsid w:val="002A7F6C"/>
    <w:rsid w:val="002B1E53"/>
    <w:rsid w:val="002B2014"/>
    <w:rsid w:val="002B2041"/>
    <w:rsid w:val="002B2177"/>
    <w:rsid w:val="002B2DCF"/>
    <w:rsid w:val="002B308E"/>
    <w:rsid w:val="002B3939"/>
    <w:rsid w:val="002B51F8"/>
    <w:rsid w:val="002B58FE"/>
    <w:rsid w:val="002B59E9"/>
    <w:rsid w:val="002B7BB5"/>
    <w:rsid w:val="002C01A3"/>
    <w:rsid w:val="002C145F"/>
    <w:rsid w:val="002C20AD"/>
    <w:rsid w:val="002C2FDF"/>
    <w:rsid w:val="002C3297"/>
    <w:rsid w:val="002C4271"/>
    <w:rsid w:val="002C43B1"/>
    <w:rsid w:val="002C45A3"/>
    <w:rsid w:val="002C6119"/>
    <w:rsid w:val="002C66AA"/>
    <w:rsid w:val="002C6834"/>
    <w:rsid w:val="002D139D"/>
    <w:rsid w:val="002D1DCD"/>
    <w:rsid w:val="002D3148"/>
    <w:rsid w:val="002D33E6"/>
    <w:rsid w:val="002D3A6A"/>
    <w:rsid w:val="002D4863"/>
    <w:rsid w:val="002D5927"/>
    <w:rsid w:val="002D5C3D"/>
    <w:rsid w:val="002D6286"/>
    <w:rsid w:val="002D63C5"/>
    <w:rsid w:val="002D6480"/>
    <w:rsid w:val="002D67B2"/>
    <w:rsid w:val="002D6809"/>
    <w:rsid w:val="002D6A88"/>
    <w:rsid w:val="002D70B1"/>
    <w:rsid w:val="002D7122"/>
    <w:rsid w:val="002D7BA0"/>
    <w:rsid w:val="002E0507"/>
    <w:rsid w:val="002E1307"/>
    <w:rsid w:val="002E130E"/>
    <w:rsid w:val="002E34CC"/>
    <w:rsid w:val="002E3971"/>
    <w:rsid w:val="002E3C2A"/>
    <w:rsid w:val="002E3D63"/>
    <w:rsid w:val="002E44E0"/>
    <w:rsid w:val="002E59EA"/>
    <w:rsid w:val="002E68D5"/>
    <w:rsid w:val="002E7301"/>
    <w:rsid w:val="002E7E73"/>
    <w:rsid w:val="002F1AEC"/>
    <w:rsid w:val="002F1D61"/>
    <w:rsid w:val="002F20BC"/>
    <w:rsid w:val="002F2E19"/>
    <w:rsid w:val="002F37C6"/>
    <w:rsid w:val="002F3B34"/>
    <w:rsid w:val="002F3CB2"/>
    <w:rsid w:val="002F4AFE"/>
    <w:rsid w:val="002F4E94"/>
    <w:rsid w:val="002F4FE6"/>
    <w:rsid w:val="002F5E0D"/>
    <w:rsid w:val="002F6488"/>
    <w:rsid w:val="002F708F"/>
    <w:rsid w:val="002F7124"/>
    <w:rsid w:val="002F79A2"/>
    <w:rsid w:val="003009C0"/>
    <w:rsid w:val="003017FE"/>
    <w:rsid w:val="00301CC5"/>
    <w:rsid w:val="00301F22"/>
    <w:rsid w:val="003028D1"/>
    <w:rsid w:val="00304126"/>
    <w:rsid w:val="00304560"/>
    <w:rsid w:val="003075F9"/>
    <w:rsid w:val="00307986"/>
    <w:rsid w:val="00307DC8"/>
    <w:rsid w:val="00310AF7"/>
    <w:rsid w:val="00310E49"/>
    <w:rsid w:val="003124E5"/>
    <w:rsid w:val="00312BD9"/>
    <w:rsid w:val="00312F31"/>
    <w:rsid w:val="003160FF"/>
    <w:rsid w:val="00317A84"/>
    <w:rsid w:val="00320839"/>
    <w:rsid w:val="003208A4"/>
    <w:rsid w:val="003213F9"/>
    <w:rsid w:val="0032141B"/>
    <w:rsid w:val="00322EC2"/>
    <w:rsid w:val="00323116"/>
    <w:rsid w:val="00323DBF"/>
    <w:rsid w:val="00326536"/>
    <w:rsid w:val="00326D85"/>
    <w:rsid w:val="00326EFD"/>
    <w:rsid w:val="003277E2"/>
    <w:rsid w:val="00330848"/>
    <w:rsid w:val="003309A8"/>
    <w:rsid w:val="00330EE2"/>
    <w:rsid w:val="00331428"/>
    <w:rsid w:val="003314CC"/>
    <w:rsid w:val="00332B12"/>
    <w:rsid w:val="003330E5"/>
    <w:rsid w:val="00333597"/>
    <w:rsid w:val="00333817"/>
    <w:rsid w:val="00333A01"/>
    <w:rsid w:val="00334804"/>
    <w:rsid w:val="0033495B"/>
    <w:rsid w:val="00334B74"/>
    <w:rsid w:val="00334EED"/>
    <w:rsid w:val="003351E1"/>
    <w:rsid w:val="00335D3E"/>
    <w:rsid w:val="00335DAB"/>
    <w:rsid w:val="00336147"/>
    <w:rsid w:val="003375D7"/>
    <w:rsid w:val="003404E2"/>
    <w:rsid w:val="003408D6"/>
    <w:rsid w:val="00340CED"/>
    <w:rsid w:val="00341985"/>
    <w:rsid w:val="003430A7"/>
    <w:rsid w:val="00344024"/>
    <w:rsid w:val="00344398"/>
    <w:rsid w:val="00344568"/>
    <w:rsid w:val="003449E6"/>
    <w:rsid w:val="00345794"/>
    <w:rsid w:val="003460A1"/>
    <w:rsid w:val="00350663"/>
    <w:rsid w:val="00350C4C"/>
    <w:rsid w:val="0035121B"/>
    <w:rsid w:val="00351B07"/>
    <w:rsid w:val="00352306"/>
    <w:rsid w:val="00352CF2"/>
    <w:rsid w:val="00352EAB"/>
    <w:rsid w:val="00354977"/>
    <w:rsid w:val="00355CFB"/>
    <w:rsid w:val="00355FEF"/>
    <w:rsid w:val="0035633B"/>
    <w:rsid w:val="003565E5"/>
    <w:rsid w:val="003601C3"/>
    <w:rsid w:val="00360E70"/>
    <w:rsid w:val="00360F79"/>
    <w:rsid w:val="0036149A"/>
    <w:rsid w:val="003615ED"/>
    <w:rsid w:val="00362645"/>
    <w:rsid w:val="003632A4"/>
    <w:rsid w:val="003643FE"/>
    <w:rsid w:val="003644A1"/>
    <w:rsid w:val="00364841"/>
    <w:rsid w:val="00364E35"/>
    <w:rsid w:val="0036605F"/>
    <w:rsid w:val="00366617"/>
    <w:rsid w:val="00366B6D"/>
    <w:rsid w:val="003671B2"/>
    <w:rsid w:val="003679E8"/>
    <w:rsid w:val="0037060F"/>
    <w:rsid w:val="003714B2"/>
    <w:rsid w:val="00371B29"/>
    <w:rsid w:val="00371BDD"/>
    <w:rsid w:val="00374E74"/>
    <w:rsid w:val="00374F23"/>
    <w:rsid w:val="00375447"/>
    <w:rsid w:val="00375705"/>
    <w:rsid w:val="003759A9"/>
    <w:rsid w:val="0037656B"/>
    <w:rsid w:val="00376A9F"/>
    <w:rsid w:val="003771F2"/>
    <w:rsid w:val="00377E5E"/>
    <w:rsid w:val="0038042C"/>
    <w:rsid w:val="0038102C"/>
    <w:rsid w:val="00381C76"/>
    <w:rsid w:val="00381F53"/>
    <w:rsid w:val="00382650"/>
    <w:rsid w:val="00382C48"/>
    <w:rsid w:val="0038366B"/>
    <w:rsid w:val="00383682"/>
    <w:rsid w:val="0038469F"/>
    <w:rsid w:val="003851B6"/>
    <w:rsid w:val="003854C9"/>
    <w:rsid w:val="00385612"/>
    <w:rsid w:val="00386586"/>
    <w:rsid w:val="00390035"/>
    <w:rsid w:val="0039060F"/>
    <w:rsid w:val="003908DC"/>
    <w:rsid w:val="00391769"/>
    <w:rsid w:val="00391A7F"/>
    <w:rsid w:val="0039201C"/>
    <w:rsid w:val="003923BD"/>
    <w:rsid w:val="00392901"/>
    <w:rsid w:val="0039327A"/>
    <w:rsid w:val="00393662"/>
    <w:rsid w:val="003942F2"/>
    <w:rsid w:val="00394828"/>
    <w:rsid w:val="003952CE"/>
    <w:rsid w:val="003953E1"/>
    <w:rsid w:val="003956B3"/>
    <w:rsid w:val="0039756E"/>
    <w:rsid w:val="003975BF"/>
    <w:rsid w:val="003976A6"/>
    <w:rsid w:val="00397747"/>
    <w:rsid w:val="003A05E5"/>
    <w:rsid w:val="003A1166"/>
    <w:rsid w:val="003A276D"/>
    <w:rsid w:val="003A467D"/>
    <w:rsid w:val="003A4BAA"/>
    <w:rsid w:val="003A53E5"/>
    <w:rsid w:val="003A6505"/>
    <w:rsid w:val="003A68BE"/>
    <w:rsid w:val="003A6F54"/>
    <w:rsid w:val="003A7377"/>
    <w:rsid w:val="003A7514"/>
    <w:rsid w:val="003A7597"/>
    <w:rsid w:val="003A77A0"/>
    <w:rsid w:val="003B0DF8"/>
    <w:rsid w:val="003B1805"/>
    <w:rsid w:val="003B23D5"/>
    <w:rsid w:val="003B31A6"/>
    <w:rsid w:val="003B3C9D"/>
    <w:rsid w:val="003B3FD5"/>
    <w:rsid w:val="003B4204"/>
    <w:rsid w:val="003B490D"/>
    <w:rsid w:val="003B4F10"/>
    <w:rsid w:val="003B64E2"/>
    <w:rsid w:val="003B7272"/>
    <w:rsid w:val="003B78E0"/>
    <w:rsid w:val="003C2596"/>
    <w:rsid w:val="003C2BAD"/>
    <w:rsid w:val="003C326C"/>
    <w:rsid w:val="003C4969"/>
    <w:rsid w:val="003C5678"/>
    <w:rsid w:val="003C6A84"/>
    <w:rsid w:val="003D0AB1"/>
    <w:rsid w:val="003D1652"/>
    <w:rsid w:val="003D16A6"/>
    <w:rsid w:val="003D2D37"/>
    <w:rsid w:val="003D2F2F"/>
    <w:rsid w:val="003D357E"/>
    <w:rsid w:val="003D3753"/>
    <w:rsid w:val="003D38AA"/>
    <w:rsid w:val="003D3CFA"/>
    <w:rsid w:val="003D4ECA"/>
    <w:rsid w:val="003D5986"/>
    <w:rsid w:val="003D5D52"/>
    <w:rsid w:val="003D7003"/>
    <w:rsid w:val="003D7330"/>
    <w:rsid w:val="003E0006"/>
    <w:rsid w:val="003E07E2"/>
    <w:rsid w:val="003E0E57"/>
    <w:rsid w:val="003E20BA"/>
    <w:rsid w:val="003E2F54"/>
    <w:rsid w:val="003E2FDA"/>
    <w:rsid w:val="003E376C"/>
    <w:rsid w:val="003E3D7D"/>
    <w:rsid w:val="003E41D5"/>
    <w:rsid w:val="003E44CC"/>
    <w:rsid w:val="003E46BA"/>
    <w:rsid w:val="003E48B3"/>
    <w:rsid w:val="003E49A2"/>
    <w:rsid w:val="003E52A2"/>
    <w:rsid w:val="003E5757"/>
    <w:rsid w:val="003E62CE"/>
    <w:rsid w:val="003E6C1C"/>
    <w:rsid w:val="003E70AB"/>
    <w:rsid w:val="003E7D22"/>
    <w:rsid w:val="003E7D3F"/>
    <w:rsid w:val="003F0FAD"/>
    <w:rsid w:val="003F1DCF"/>
    <w:rsid w:val="003F21EB"/>
    <w:rsid w:val="003F2E4E"/>
    <w:rsid w:val="003F3752"/>
    <w:rsid w:val="003F44F6"/>
    <w:rsid w:val="003F54A7"/>
    <w:rsid w:val="003F58E6"/>
    <w:rsid w:val="003F74C1"/>
    <w:rsid w:val="004000E1"/>
    <w:rsid w:val="004003B4"/>
    <w:rsid w:val="00400C13"/>
    <w:rsid w:val="00400E27"/>
    <w:rsid w:val="00400E53"/>
    <w:rsid w:val="0040116E"/>
    <w:rsid w:val="00402A21"/>
    <w:rsid w:val="00402CAD"/>
    <w:rsid w:val="00403275"/>
    <w:rsid w:val="0040337D"/>
    <w:rsid w:val="00403AED"/>
    <w:rsid w:val="00403FC4"/>
    <w:rsid w:val="0040421B"/>
    <w:rsid w:val="004055CD"/>
    <w:rsid w:val="00405B1A"/>
    <w:rsid w:val="00406245"/>
    <w:rsid w:val="00406A3D"/>
    <w:rsid w:val="00406CD8"/>
    <w:rsid w:val="00406D9C"/>
    <w:rsid w:val="004106FD"/>
    <w:rsid w:val="00410C76"/>
    <w:rsid w:val="00410D1A"/>
    <w:rsid w:val="00411907"/>
    <w:rsid w:val="00411D59"/>
    <w:rsid w:val="00411F47"/>
    <w:rsid w:val="00412E48"/>
    <w:rsid w:val="00413CA8"/>
    <w:rsid w:val="00413D4F"/>
    <w:rsid w:val="00414457"/>
    <w:rsid w:val="00414C8D"/>
    <w:rsid w:val="004157B1"/>
    <w:rsid w:val="004158CE"/>
    <w:rsid w:val="004164EE"/>
    <w:rsid w:val="00416DBD"/>
    <w:rsid w:val="00417A00"/>
    <w:rsid w:val="00417EE3"/>
    <w:rsid w:val="004207EB"/>
    <w:rsid w:val="00421233"/>
    <w:rsid w:val="00421238"/>
    <w:rsid w:val="00423A16"/>
    <w:rsid w:val="00423A4E"/>
    <w:rsid w:val="00423DB8"/>
    <w:rsid w:val="00424393"/>
    <w:rsid w:val="00424981"/>
    <w:rsid w:val="00424AB2"/>
    <w:rsid w:val="00424B9F"/>
    <w:rsid w:val="00424FC0"/>
    <w:rsid w:val="0042574B"/>
    <w:rsid w:val="0042628C"/>
    <w:rsid w:val="004269F2"/>
    <w:rsid w:val="00426AA7"/>
    <w:rsid w:val="00426BD2"/>
    <w:rsid w:val="00427186"/>
    <w:rsid w:val="00427AFC"/>
    <w:rsid w:val="00430224"/>
    <w:rsid w:val="0043116A"/>
    <w:rsid w:val="00431195"/>
    <w:rsid w:val="00431A3A"/>
    <w:rsid w:val="00432DCC"/>
    <w:rsid w:val="00432FC5"/>
    <w:rsid w:val="004331B0"/>
    <w:rsid w:val="00433360"/>
    <w:rsid w:val="00433AE3"/>
    <w:rsid w:val="004351E2"/>
    <w:rsid w:val="00435360"/>
    <w:rsid w:val="004355A9"/>
    <w:rsid w:val="00435712"/>
    <w:rsid w:val="0043590E"/>
    <w:rsid w:val="00435A4C"/>
    <w:rsid w:val="0043668E"/>
    <w:rsid w:val="0043718C"/>
    <w:rsid w:val="00437216"/>
    <w:rsid w:val="00437276"/>
    <w:rsid w:val="00437460"/>
    <w:rsid w:val="00437DEA"/>
    <w:rsid w:val="00441FE5"/>
    <w:rsid w:val="004430C1"/>
    <w:rsid w:val="004444CF"/>
    <w:rsid w:val="00444674"/>
    <w:rsid w:val="00445370"/>
    <w:rsid w:val="004453A7"/>
    <w:rsid w:val="00446A7D"/>
    <w:rsid w:val="004512CD"/>
    <w:rsid w:val="004525A4"/>
    <w:rsid w:val="0045419E"/>
    <w:rsid w:val="00454604"/>
    <w:rsid w:val="00456563"/>
    <w:rsid w:val="00456B54"/>
    <w:rsid w:val="00456FA3"/>
    <w:rsid w:val="0045705A"/>
    <w:rsid w:val="00457A06"/>
    <w:rsid w:val="00460914"/>
    <w:rsid w:val="00460E81"/>
    <w:rsid w:val="00461453"/>
    <w:rsid w:val="004615BA"/>
    <w:rsid w:val="00462559"/>
    <w:rsid w:val="00462962"/>
    <w:rsid w:val="00462CE0"/>
    <w:rsid w:val="00463EBD"/>
    <w:rsid w:val="00464028"/>
    <w:rsid w:val="00464643"/>
    <w:rsid w:val="0046480E"/>
    <w:rsid w:val="00464D0C"/>
    <w:rsid w:val="004655E5"/>
    <w:rsid w:val="00466CEE"/>
    <w:rsid w:val="00467C82"/>
    <w:rsid w:val="004706D2"/>
    <w:rsid w:val="004708A1"/>
    <w:rsid w:val="00470D83"/>
    <w:rsid w:val="00471941"/>
    <w:rsid w:val="00474291"/>
    <w:rsid w:val="00474867"/>
    <w:rsid w:val="004748B9"/>
    <w:rsid w:val="00474F62"/>
    <w:rsid w:val="004753E9"/>
    <w:rsid w:val="004776DD"/>
    <w:rsid w:val="0047788B"/>
    <w:rsid w:val="00477D41"/>
    <w:rsid w:val="0048070F"/>
    <w:rsid w:val="004808E4"/>
    <w:rsid w:val="00480923"/>
    <w:rsid w:val="00480E42"/>
    <w:rsid w:val="00481FCF"/>
    <w:rsid w:val="004821EB"/>
    <w:rsid w:val="00482BCD"/>
    <w:rsid w:val="00484545"/>
    <w:rsid w:val="00484814"/>
    <w:rsid w:val="00485F4B"/>
    <w:rsid w:val="00486495"/>
    <w:rsid w:val="00486793"/>
    <w:rsid w:val="00486E2D"/>
    <w:rsid w:val="004878AC"/>
    <w:rsid w:val="0049018C"/>
    <w:rsid w:val="004910FC"/>
    <w:rsid w:val="00491344"/>
    <w:rsid w:val="004925CC"/>
    <w:rsid w:val="0049308F"/>
    <w:rsid w:val="0049314E"/>
    <w:rsid w:val="004935AF"/>
    <w:rsid w:val="004943C8"/>
    <w:rsid w:val="00495789"/>
    <w:rsid w:val="00495926"/>
    <w:rsid w:val="00495C52"/>
    <w:rsid w:val="00496C3C"/>
    <w:rsid w:val="00497037"/>
    <w:rsid w:val="004977CE"/>
    <w:rsid w:val="00497E04"/>
    <w:rsid w:val="004A0102"/>
    <w:rsid w:val="004A0D08"/>
    <w:rsid w:val="004A11C9"/>
    <w:rsid w:val="004A1209"/>
    <w:rsid w:val="004A1CD9"/>
    <w:rsid w:val="004A2037"/>
    <w:rsid w:val="004A32CE"/>
    <w:rsid w:val="004A3479"/>
    <w:rsid w:val="004A3D3D"/>
    <w:rsid w:val="004A3E70"/>
    <w:rsid w:val="004A4081"/>
    <w:rsid w:val="004A4A1D"/>
    <w:rsid w:val="004A50E5"/>
    <w:rsid w:val="004A75BE"/>
    <w:rsid w:val="004A7885"/>
    <w:rsid w:val="004B01E3"/>
    <w:rsid w:val="004B03B7"/>
    <w:rsid w:val="004B05E9"/>
    <w:rsid w:val="004B0C38"/>
    <w:rsid w:val="004B1047"/>
    <w:rsid w:val="004B14EC"/>
    <w:rsid w:val="004B1693"/>
    <w:rsid w:val="004B2266"/>
    <w:rsid w:val="004B24A9"/>
    <w:rsid w:val="004B283A"/>
    <w:rsid w:val="004B2A86"/>
    <w:rsid w:val="004B2DA6"/>
    <w:rsid w:val="004B49D1"/>
    <w:rsid w:val="004B60D9"/>
    <w:rsid w:val="004B63DD"/>
    <w:rsid w:val="004C02D7"/>
    <w:rsid w:val="004C293F"/>
    <w:rsid w:val="004C2CE7"/>
    <w:rsid w:val="004C2FF8"/>
    <w:rsid w:val="004C35F8"/>
    <w:rsid w:val="004C382D"/>
    <w:rsid w:val="004C6CB0"/>
    <w:rsid w:val="004C7CE4"/>
    <w:rsid w:val="004D1043"/>
    <w:rsid w:val="004D1D18"/>
    <w:rsid w:val="004D285C"/>
    <w:rsid w:val="004D2B56"/>
    <w:rsid w:val="004D4683"/>
    <w:rsid w:val="004D4FE9"/>
    <w:rsid w:val="004D5AE2"/>
    <w:rsid w:val="004D642E"/>
    <w:rsid w:val="004D6AD9"/>
    <w:rsid w:val="004D6DB6"/>
    <w:rsid w:val="004E01A6"/>
    <w:rsid w:val="004E049B"/>
    <w:rsid w:val="004E15CE"/>
    <w:rsid w:val="004E22BB"/>
    <w:rsid w:val="004E2C59"/>
    <w:rsid w:val="004E31D0"/>
    <w:rsid w:val="004E3391"/>
    <w:rsid w:val="004E4B2E"/>
    <w:rsid w:val="004E4B8E"/>
    <w:rsid w:val="004E556E"/>
    <w:rsid w:val="004E61D9"/>
    <w:rsid w:val="004E6B0B"/>
    <w:rsid w:val="004E7310"/>
    <w:rsid w:val="004F0392"/>
    <w:rsid w:val="004F085D"/>
    <w:rsid w:val="004F16B1"/>
    <w:rsid w:val="004F17AE"/>
    <w:rsid w:val="004F379E"/>
    <w:rsid w:val="004F3846"/>
    <w:rsid w:val="004F3AAC"/>
    <w:rsid w:val="004F3E03"/>
    <w:rsid w:val="004F4038"/>
    <w:rsid w:val="004F4F98"/>
    <w:rsid w:val="004F50D1"/>
    <w:rsid w:val="004F69F6"/>
    <w:rsid w:val="004F72A7"/>
    <w:rsid w:val="004F7946"/>
    <w:rsid w:val="004F79AC"/>
    <w:rsid w:val="004F7ED7"/>
    <w:rsid w:val="00500CE5"/>
    <w:rsid w:val="005017CF"/>
    <w:rsid w:val="00501D75"/>
    <w:rsid w:val="0050202F"/>
    <w:rsid w:val="00502288"/>
    <w:rsid w:val="00502585"/>
    <w:rsid w:val="0050310D"/>
    <w:rsid w:val="005033CC"/>
    <w:rsid w:val="00503CB0"/>
    <w:rsid w:val="005048BC"/>
    <w:rsid w:val="0050694A"/>
    <w:rsid w:val="00506F40"/>
    <w:rsid w:val="00507148"/>
    <w:rsid w:val="005071C2"/>
    <w:rsid w:val="00507842"/>
    <w:rsid w:val="00507AF5"/>
    <w:rsid w:val="00507D88"/>
    <w:rsid w:val="00511F3E"/>
    <w:rsid w:val="00513652"/>
    <w:rsid w:val="00513AC7"/>
    <w:rsid w:val="005148A4"/>
    <w:rsid w:val="00515599"/>
    <w:rsid w:val="005158EB"/>
    <w:rsid w:val="00515D66"/>
    <w:rsid w:val="0051671E"/>
    <w:rsid w:val="0051698F"/>
    <w:rsid w:val="00516D14"/>
    <w:rsid w:val="00517A04"/>
    <w:rsid w:val="0052016D"/>
    <w:rsid w:val="005207D8"/>
    <w:rsid w:val="00520D4C"/>
    <w:rsid w:val="0052111B"/>
    <w:rsid w:val="00522B60"/>
    <w:rsid w:val="0052340F"/>
    <w:rsid w:val="005243C3"/>
    <w:rsid w:val="00524E7C"/>
    <w:rsid w:val="005253C9"/>
    <w:rsid w:val="005256E8"/>
    <w:rsid w:val="005259CA"/>
    <w:rsid w:val="00526F8E"/>
    <w:rsid w:val="00527628"/>
    <w:rsid w:val="005276B3"/>
    <w:rsid w:val="005279C2"/>
    <w:rsid w:val="00527C80"/>
    <w:rsid w:val="00530200"/>
    <w:rsid w:val="005305FC"/>
    <w:rsid w:val="00530B45"/>
    <w:rsid w:val="00530CAC"/>
    <w:rsid w:val="00531012"/>
    <w:rsid w:val="005311E7"/>
    <w:rsid w:val="00531436"/>
    <w:rsid w:val="00531A46"/>
    <w:rsid w:val="0053282E"/>
    <w:rsid w:val="00532C5B"/>
    <w:rsid w:val="00533D3D"/>
    <w:rsid w:val="0053464E"/>
    <w:rsid w:val="00535CC0"/>
    <w:rsid w:val="005361C9"/>
    <w:rsid w:val="00540737"/>
    <w:rsid w:val="00540974"/>
    <w:rsid w:val="00540BC4"/>
    <w:rsid w:val="00541E4C"/>
    <w:rsid w:val="005422A9"/>
    <w:rsid w:val="0054272D"/>
    <w:rsid w:val="0054312F"/>
    <w:rsid w:val="00543461"/>
    <w:rsid w:val="00543C33"/>
    <w:rsid w:val="00544727"/>
    <w:rsid w:val="00544964"/>
    <w:rsid w:val="00544CF3"/>
    <w:rsid w:val="00545376"/>
    <w:rsid w:val="00545B99"/>
    <w:rsid w:val="00545D8D"/>
    <w:rsid w:val="0054632F"/>
    <w:rsid w:val="00546A61"/>
    <w:rsid w:val="00546E35"/>
    <w:rsid w:val="00546F72"/>
    <w:rsid w:val="00547570"/>
    <w:rsid w:val="00547818"/>
    <w:rsid w:val="005500E6"/>
    <w:rsid w:val="00550330"/>
    <w:rsid w:val="0055082F"/>
    <w:rsid w:val="00550B8B"/>
    <w:rsid w:val="00550EDA"/>
    <w:rsid w:val="005511F4"/>
    <w:rsid w:val="005512F0"/>
    <w:rsid w:val="00552606"/>
    <w:rsid w:val="005528B3"/>
    <w:rsid w:val="005539DA"/>
    <w:rsid w:val="00553D45"/>
    <w:rsid w:val="00554B9C"/>
    <w:rsid w:val="00555062"/>
    <w:rsid w:val="00555083"/>
    <w:rsid w:val="00555DF0"/>
    <w:rsid w:val="00556FC5"/>
    <w:rsid w:val="005609C3"/>
    <w:rsid w:val="00560EAD"/>
    <w:rsid w:val="0056159F"/>
    <w:rsid w:val="00561A07"/>
    <w:rsid w:val="00561C43"/>
    <w:rsid w:val="00561F0A"/>
    <w:rsid w:val="00562917"/>
    <w:rsid w:val="00562B6A"/>
    <w:rsid w:val="00562FE6"/>
    <w:rsid w:val="00563EF4"/>
    <w:rsid w:val="00565B5B"/>
    <w:rsid w:val="005660EA"/>
    <w:rsid w:val="00566799"/>
    <w:rsid w:val="00566C6A"/>
    <w:rsid w:val="00567842"/>
    <w:rsid w:val="00567C42"/>
    <w:rsid w:val="00570866"/>
    <w:rsid w:val="005708E0"/>
    <w:rsid w:val="005710EA"/>
    <w:rsid w:val="00571EA4"/>
    <w:rsid w:val="005724A5"/>
    <w:rsid w:val="0057327F"/>
    <w:rsid w:val="00575B83"/>
    <w:rsid w:val="0057609B"/>
    <w:rsid w:val="0057615C"/>
    <w:rsid w:val="00576B53"/>
    <w:rsid w:val="00576BCE"/>
    <w:rsid w:val="005770E4"/>
    <w:rsid w:val="005775FB"/>
    <w:rsid w:val="005800E4"/>
    <w:rsid w:val="00580A22"/>
    <w:rsid w:val="00580A24"/>
    <w:rsid w:val="00583EB0"/>
    <w:rsid w:val="00584804"/>
    <w:rsid w:val="00584B53"/>
    <w:rsid w:val="005859A1"/>
    <w:rsid w:val="00585A5E"/>
    <w:rsid w:val="00586228"/>
    <w:rsid w:val="0058628A"/>
    <w:rsid w:val="00586748"/>
    <w:rsid w:val="0058702D"/>
    <w:rsid w:val="0058720F"/>
    <w:rsid w:val="00590035"/>
    <w:rsid w:val="00590058"/>
    <w:rsid w:val="00590532"/>
    <w:rsid w:val="005909E2"/>
    <w:rsid w:val="00591C28"/>
    <w:rsid w:val="00591E60"/>
    <w:rsid w:val="0059268B"/>
    <w:rsid w:val="005929D1"/>
    <w:rsid w:val="00592A60"/>
    <w:rsid w:val="00592BD3"/>
    <w:rsid w:val="005932FA"/>
    <w:rsid w:val="005947EF"/>
    <w:rsid w:val="00595280"/>
    <w:rsid w:val="0059619E"/>
    <w:rsid w:val="005968D8"/>
    <w:rsid w:val="00596D14"/>
    <w:rsid w:val="005A03D8"/>
    <w:rsid w:val="005A0A28"/>
    <w:rsid w:val="005A0E56"/>
    <w:rsid w:val="005A0F30"/>
    <w:rsid w:val="005A1D4E"/>
    <w:rsid w:val="005A1D97"/>
    <w:rsid w:val="005A1E41"/>
    <w:rsid w:val="005A1ED4"/>
    <w:rsid w:val="005A2457"/>
    <w:rsid w:val="005A3302"/>
    <w:rsid w:val="005A349E"/>
    <w:rsid w:val="005A49E1"/>
    <w:rsid w:val="005A4FCF"/>
    <w:rsid w:val="005A58F3"/>
    <w:rsid w:val="005A63DF"/>
    <w:rsid w:val="005A6ADE"/>
    <w:rsid w:val="005A6DC8"/>
    <w:rsid w:val="005A7619"/>
    <w:rsid w:val="005B33FA"/>
    <w:rsid w:val="005B343A"/>
    <w:rsid w:val="005B4B6F"/>
    <w:rsid w:val="005B5314"/>
    <w:rsid w:val="005B5A13"/>
    <w:rsid w:val="005B5BCD"/>
    <w:rsid w:val="005B6AF4"/>
    <w:rsid w:val="005B6CD7"/>
    <w:rsid w:val="005B7413"/>
    <w:rsid w:val="005B7A73"/>
    <w:rsid w:val="005C04CB"/>
    <w:rsid w:val="005C26DB"/>
    <w:rsid w:val="005C2F76"/>
    <w:rsid w:val="005C3862"/>
    <w:rsid w:val="005C5A3A"/>
    <w:rsid w:val="005C5E8A"/>
    <w:rsid w:val="005C655D"/>
    <w:rsid w:val="005D16AD"/>
    <w:rsid w:val="005D18E3"/>
    <w:rsid w:val="005D2D03"/>
    <w:rsid w:val="005D32E7"/>
    <w:rsid w:val="005D39E2"/>
    <w:rsid w:val="005D4F97"/>
    <w:rsid w:val="005D636B"/>
    <w:rsid w:val="005D6493"/>
    <w:rsid w:val="005D6A37"/>
    <w:rsid w:val="005D6DFF"/>
    <w:rsid w:val="005D72E1"/>
    <w:rsid w:val="005E187E"/>
    <w:rsid w:val="005E3911"/>
    <w:rsid w:val="005E3BA7"/>
    <w:rsid w:val="005E4344"/>
    <w:rsid w:val="005E5731"/>
    <w:rsid w:val="005E5943"/>
    <w:rsid w:val="005E6659"/>
    <w:rsid w:val="005E6AA7"/>
    <w:rsid w:val="005E6E16"/>
    <w:rsid w:val="005E723E"/>
    <w:rsid w:val="005E7A8E"/>
    <w:rsid w:val="005F0D8D"/>
    <w:rsid w:val="005F1842"/>
    <w:rsid w:val="005F1855"/>
    <w:rsid w:val="005F2055"/>
    <w:rsid w:val="005F271D"/>
    <w:rsid w:val="005F3F67"/>
    <w:rsid w:val="005F400E"/>
    <w:rsid w:val="005F4226"/>
    <w:rsid w:val="005F5122"/>
    <w:rsid w:val="005F5754"/>
    <w:rsid w:val="005F5DFE"/>
    <w:rsid w:val="005F69BC"/>
    <w:rsid w:val="005F6BEC"/>
    <w:rsid w:val="005F7342"/>
    <w:rsid w:val="005F7C6F"/>
    <w:rsid w:val="0060022F"/>
    <w:rsid w:val="006011B6"/>
    <w:rsid w:val="00601857"/>
    <w:rsid w:val="006021A2"/>
    <w:rsid w:val="00602E01"/>
    <w:rsid w:val="006031FD"/>
    <w:rsid w:val="0060376A"/>
    <w:rsid w:val="00603A08"/>
    <w:rsid w:val="00603B1A"/>
    <w:rsid w:val="00604740"/>
    <w:rsid w:val="006048AD"/>
    <w:rsid w:val="00604E8E"/>
    <w:rsid w:val="00606090"/>
    <w:rsid w:val="0060660F"/>
    <w:rsid w:val="00606620"/>
    <w:rsid w:val="00606AD2"/>
    <w:rsid w:val="00606C17"/>
    <w:rsid w:val="00607488"/>
    <w:rsid w:val="00607EBA"/>
    <w:rsid w:val="0061020E"/>
    <w:rsid w:val="00610A3C"/>
    <w:rsid w:val="00610C6E"/>
    <w:rsid w:val="00610D17"/>
    <w:rsid w:val="00610ECE"/>
    <w:rsid w:val="0061154D"/>
    <w:rsid w:val="0061199C"/>
    <w:rsid w:val="00611A8E"/>
    <w:rsid w:val="00611D96"/>
    <w:rsid w:val="00612132"/>
    <w:rsid w:val="00612164"/>
    <w:rsid w:val="00612D5D"/>
    <w:rsid w:val="006131C9"/>
    <w:rsid w:val="00613616"/>
    <w:rsid w:val="00614262"/>
    <w:rsid w:val="00614772"/>
    <w:rsid w:val="00615A09"/>
    <w:rsid w:val="00615E5E"/>
    <w:rsid w:val="00616138"/>
    <w:rsid w:val="00616F96"/>
    <w:rsid w:val="00617B1B"/>
    <w:rsid w:val="006202AA"/>
    <w:rsid w:val="006218FA"/>
    <w:rsid w:val="00621B49"/>
    <w:rsid w:val="00621DDA"/>
    <w:rsid w:val="00622191"/>
    <w:rsid w:val="006225A0"/>
    <w:rsid w:val="00622C29"/>
    <w:rsid w:val="00622FCD"/>
    <w:rsid w:val="00624D87"/>
    <w:rsid w:val="0062548D"/>
    <w:rsid w:val="0062746F"/>
    <w:rsid w:val="00627510"/>
    <w:rsid w:val="006276C3"/>
    <w:rsid w:val="00627F48"/>
    <w:rsid w:val="00627F9F"/>
    <w:rsid w:val="00630B37"/>
    <w:rsid w:val="00630C23"/>
    <w:rsid w:val="006319DB"/>
    <w:rsid w:val="00631E84"/>
    <w:rsid w:val="00633982"/>
    <w:rsid w:val="006359E8"/>
    <w:rsid w:val="00637ED0"/>
    <w:rsid w:val="00642217"/>
    <w:rsid w:val="00643143"/>
    <w:rsid w:val="006442B2"/>
    <w:rsid w:val="0064444A"/>
    <w:rsid w:val="006450FB"/>
    <w:rsid w:val="00645131"/>
    <w:rsid w:val="006460AB"/>
    <w:rsid w:val="0064699C"/>
    <w:rsid w:val="00647893"/>
    <w:rsid w:val="00647995"/>
    <w:rsid w:val="00647F5F"/>
    <w:rsid w:val="00651C73"/>
    <w:rsid w:val="00651F69"/>
    <w:rsid w:val="00652013"/>
    <w:rsid w:val="0065291A"/>
    <w:rsid w:val="00652F06"/>
    <w:rsid w:val="006532C9"/>
    <w:rsid w:val="00653408"/>
    <w:rsid w:val="00653496"/>
    <w:rsid w:val="00653B78"/>
    <w:rsid w:val="006545C6"/>
    <w:rsid w:val="00654AAF"/>
    <w:rsid w:val="00655C29"/>
    <w:rsid w:val="00656707"/>
    <w:rsid w:val="00656AC1"/>
    <w:rsid w:val="00656C83"/>
    <w:rsid w:val="00656DCA"/>
    <w:rsid w:val="0066132B"/>
    <w:rsid w:val="00661EB8"/>
    <w:rsid w:val="00662AF0"/>
    <w:rsid w:val="00662AF9"/>
    <w:rsid w:val="00662BE8"/>
    <w:rsid w:val="0066342D"/>
    <w:rsid w:val="00663C75"/>
    <w:rsid w:val="00663FCF"/>
    <w:rsid w:val="00664546"/>
    <w:rsid w:val="006646B0"/>
    <w:rsid w:val="006652A2"/>
    <w:rsid w:val="00665D90"/>
    <w:rsid w:val="00666E11"/>
    <w:rsid w:val="006671D3"/>
    <w:rsid w:val="00667B73"/>
    <w:rsid w:val="006706E0"/>
    <w:rsid w:val="00670737"/>
    <w:rsid w:val="00671876"/>
    <w:rsid w:val="006718C1"/>
    <w:rsid w:val="0067207A"/>
    <w:rsid w:val="00672F05"/>
    <w:rsid w:val="00673AB3"/>
    <w:rsid w:val="00674C31"/>
    <w:rsid w:val="00675314"/>
    <w:rsid w:val="00676019"/>
    <w:rsid w:val="0067748B"/>
    <w:rsid w:val="0068189B"/>
    <w:rsid w:val="00681A5E"/>
    <w:rsid w:val="00681EB6"/>
    <w:rsid w:val="00681FA7"/>
    <w:rsid w:val="006834D9"/>
    <w:rsid w:val="00683E8C"/>
    <w:rsid w:val="0068543F"/>
    <w:rsid w:val="00686D9D"/>
    <w:rsid w:val="00686E65"/>
    <w:rsid w:val="00687E9F"/>
    <w:rsid w:val="006900D4"/>
    <w:rsid w:val="00690206"/>
    <w:rsid w:val="00690942"/>
    <w:rsid w:val="00690ACF"/>
    <w:rsid w:val="00690CF8"/>
    <w:rsid w:val="006913F0"/>
    <w:rsid w:val="00691F55"/>
    <w:rsid w:val="00692A20"/>
    <w:rsid w:val="00693275"/>
    <w:rsid w:val="006937FF"/>
    <w:rsid w:val="00693DFA"/>
    <w:rsid w:val="00694A7C"/>
    <w:rsid w:val="00695755"/>
    <w:rsid w:val="00695C59"/>
    <w:rsid w:val="00695F40"/>
    <w:rsid w:val="006960A8"/>
    <w:rsid w:val="00696528"/>
    <w:rsid w:val="0069698A"/>
    <w:rsid w:val="00696A97"/>
    <w:rsid w:val="00696BAC"/>
    <w:rsid w:val="0069721A"/>
    <w:rsid w:val="006972BF"/>
    <w:rsid w:val="00697348"/>
    <w:rsid w:val="006A05D5"/>
    <w:rsid w:val="006A09D6"/>
    <w:rsid w:val="006A0DA5"/>
    <w:rsid w:val="006A0E0C"/>
    <w:rsid w:val="006A1395"/>
    <w:rsid w:val="006A1A9D"/>
    <w:rsid w:val="006A2AB3"/>
    <w:rsid w:val="006A3B9E"/>
    <w:rsid w:val="006A48A7"/>
    <w:rsid w:val="006A5216"/>
    <w:rsid w:val="006A5E07"/>
    <w:rsid w:val="006A6B9A"/>
    <w:rsid w:val="006A6EE9"/>
    <w:rsid w:val="006B0FA2"/>
    <w:rsid w:val="006B198E"/>
    <w:rsid w:val="006B1C61"/>
    <w:rsid w:val="006B2174"/>
    <w:rsid w:val="006B2873"/>
    <w:rsid w:val="006B3A4B"/>
    <w:rsid w:val="006B3C0B"/>
    <w:rsid w:val="006B4221"/>
    <w:rsid w:val="006B4576"/>
    <w:rsid w:val="006B4BA1"/>
    <w:rsid w:val="006B4D80"/>
    <w:rsid w:val="006B5273"/>
    <w:rsid w:val="006B5962"/>
    <w:rsid w:val="006B5DD6"/>
    <w:rsid w:val="006B5EBE"/>
    <w:rsid w:val="006B641D"/>
    <w:rsid w:val="006B77F6"/>
    <w:rsid w:val="006B7AB7"/>
    <w:rsid w:val="006C0A70"/>
    <w:rsid w:val="006C29B7"/>
    <w:rsid w:val="006C5426"/>
    <w:rsid w:val="006C5CF5"/>
    <w:rsid w:val="006C5E6A"/>
    <w:rsid w:val="006C6162"/>
    <w:rsid w:val="006C6631"/>
    <w:rsid w:val="006C7ED6"/>
    <w:rsid w:val="006D00E5"/>
    <w:rsid w:val="006D0123"/>
    <w:rsid w:val="006D1103"/>
    <w:rsid w:val="006D1234"/>
    <w:rsid w:val="006D225D"/>
    <w:rsid w:val="006D22F4"/>
    <w:rsid w:val="006D40A9"/>
    <w:rsid w:val="006D46EC"/>
    <w:rsid w:val="006D520D"/>
    <w:rsid w:val="006D5357"/>
    <w:rsid w:val="006D5458"/>
    <w:rsid w:val="006D57CA"/>
    <w:rsid w:val="006D630B"/>
    <w:rsid w:val="006D6376"/>
    <w:rsid w:val="006D6EBC"/>
    <w:rsid w:val="006E0FB7"/>
    <w:rsid w:val="006E1315"/>
    <w:rsid w:val="006E1554"/>
    <w:rsid w:val="006E1748"/>
    <w:rsid w:val="006E19D0"/>
    <w:rsid w:val="006E290B"/>
    <w:rsid w:val="006E2D1A"/>
    <w:rsid w:val="006E2D58"/>
    <w:rsid w:val="006E3151"/>
    <w:rsid w:val="006E392D"/>
    <w:rsid w:val="006E39CA"/>
    <w:rsid w:val="006E4BE1"/>
    <w:rsid w:val="006E5419"/>
    <w:rsid w:val="006E5E6A"/>
    <w:rsid w:val="006E612D"/>
    <w:rsid w:val="006E7440"/>
    <w:rsid w:val="006E7D28"/>
    <w:rsid w:val="006F0B31"/>
    <w:rsid w:val="006F130F"/>
    <w:rsid w:val="006F1FFE"/>
    <w:rsid w:val="006F44A7"/>
    <w:rsid w:val="006F483A"/>
    <w:rsid w:val="006F4A82"/>
    <w:rsid w:val="006F51CA"/>
    <w:rsid w:val="006F5241"/>
    <w:rsid w:val="006F5F6F"/>
    <w:rsid w:val="006F6B40"/>
    <w:rsid w:val="006F7919"/>
    <w:rsid w:val="006F7A75"/>
    <w:rsid w:val="006F7FB1"/>
    <w:rsid w:val="007027E3"/>
    <w:rsid w:val="00702977"/>
    <w:rsid w:val="0070373B"/>
    <w:rsid w:val="00703FD4"/>
    <w:rsid w:val="00705208"/>
    <w:rsid w:val="00705942"/>
    <w:rsid w:val="00705A35"/>
    <w:rsid w:val="00705A48"/>
    <w:rsid w:val="00705F95"/>
    <w:rsid w:val="007064DD"/>
    <w:rsid w:val="007075A4"/>
    <w:rsid w:val="007109C8"/>
    <w:rsid w:val="00711ABA"/>
    <w:rsid w:val="007127B6"/>
    <w:rsid w:val="00712DB3"/>
    <w:rsid w:val="00712DB8"/>
    <w:rsid w:val="007131EC"/>
    <w:rsid w:val="00713BD1"/>
    <w:rsid w:val="00714187"/>
    <w:rsid w:val="00714A02"/>
    <w:rsid w:val="00714A69"/>
    <w:rsid w:val="00715934"/>
    <w:rsid w:val="00715F59"/>
    <w:rsid w:val="00716336"/>
    <w:rsid w:val="007163B2"/>
    <w:rsid w:val="00716AFC"/>
    <w:rsid w:val="00717401"/>
    <w:rsid w:val="00721B17"/>
    <w:rsid w:val="00721B38"/>
    <w:rsid w:val="00722214"/>
    <w:rsid w:val="00722E74"/>
    <w:rsid w:val="0072345E"/>
    <w:rsid w:val="007247D1"/>
    <w:rsid w:val="00724FA4"/>
    <w:rsid w:val="00725443"/>
    <w:rsid w:val="00725482"/>
    <w:rsid w:val="0072559D"/>
    <w:rsid w:val="00725907"/>
    <w:rsid w:val="00725DB2"/>
    <w:rsid w:val="00727048"/>
    <w:rsid w:val="007272CA"/>
    <w:rsid w:val="007274BC"/>
    <w:rsid w:val="00727C77"/>
    <w:rsid w:val="00727D72"/>
    <w:rsid w:val="007307A9"/>
    <w:rsid w:val="00730800"/>
    <w:rsid w:val="00730E57"/>
    <w:rsid w:val="0073104D"/>
    <w:rsid w:val="00733FA0"/>
    <w:rsid w:val="00734105"/>
    <w:rsid w:val="0073457B"/>
    <w:rsid w:val="00735292"/>
    <w:rsid w:val="007356D6"/>
    <w:rsid w:val="007360EF"/>
    <w:rsid w:val="00736714"/>
    <w:rsid w:val="00736734"/>
    <w:rsid w:val="00737AFD"/>
    <w:rsid w:val="00737C27"/>
    <w:rsid w:val="00737E39"/>
    <w:rsid w:val="00740DFD"/>
    <w:rsid w:val="00740E38"/>
    <w:rsid w:val="00743D6E"/>
    <w:rsid w:val="00744553"/>
    <w:rsid w:val="007459C6"/>
    <w:rsid w:val="00745E2E"/>
    <w:rsid w:val="0074616C"/>
    <w:rsid w:val="00746CE8"/>
    <w:rsid w:val="00746E6D"/>
    <w:rsid w:val="00747A14"/>
    <w:rsid w:val="00750C35"/>
    <w:rsid w:val="007510B6"/>
    <w:rsid w:val="0075189F"/>
    <w:rsid w:val="0075206E"/>
    <w:rsid w:val="00752BF3"/>
    <w:rsid w:val="00752EEA"/>
    <w:rsid w:val="00753D92"/>
    <w:rsid w:val="00754A93"/>
    <w:rsid w:val="00754DD8"/>
    <w:rsid w:val="00755172"/>
    <w:rsid w:val="00755941"/>
    <w:rsid w:val="0075612C"/>
    <w:rsid w:val="00756912"/>
    <w:rsid w:val="00756D1E"/>
    <w:rsid w:val="00757541"/>
    <w:rsid w:val="007602AA"/>
    <w:rsid w:val="007602B8"/>
    <w:rsid w:val="00761B6E"/>
    <w:rsid w:val="00764A2D"/>
    <w:rsid w:val="00764AED"/>
    <w:rsid w:val="007652EF"/>
    <w:rsid w:val="00765996"/>
    <w:rsid w:val="00765F7F"/>
    <w:rsid w:val="007673C5"/>
    <w:rsid w:val="0076760D"/>
    <w:rsid w:val="00767E46"/>
    <w:rsid w:val="00770508"/>
    <w:rsid w:val="0077069C"/>
    <w:rsid w:val="00770849"/>
    <w:rsid w:val="00770890"/>
    <w:rsid w:val="00772BDC"/>
    <w:rsid w:val="00773886"/>
    <w:rsid w:val="007739D2"/>
    <w:rsid w:val="00773DC5"/>
    <w:rsid w:val="00773F7E"/>
    <w:rsid w:val="00774320"/>
    <w:rsid w:val="00775107"/>
    <w:rsid w:val="007758C4"/>
    <w:rsid w:val="00775B5E"/>
    <w:rsid w:val="00776070"/>
    <w:rsid w:val="0077612C"/>
    <w:rsid w:val="0077648E"/>
    <w:rsid w:val="00776C8A"/>
    <w:rsid w:val="00776EA9"/>
    <w:rsid w:val="00777567"/>
    <w:rsid w:val="0078004A"/>
    <w:rsid w:val="007806DE"/>
    <w:rsid w:val="00780792"/>
    <w:rsid w:val="0078117D"/>
    <w:rsid w:val="00781EAE"/>
    <w:rsid w:val="0078300B"/>
    <w:rsid w:val="00783715"/>
    <w:rsid w:val="00783882"/>
    <w:rsid w:val="007839C5"/>
    <w:rsid w:val="0078427B"/>
    <w:rsid w:val="00785D82"/>
    <w:rsid w:val="00785FEF"/>
    <w:rsid w:val="00786638"/>
    <w:rsid w:val="00787B13"/>
    <w:rsid w:val="0079045B"/>
    <w:rsid w:val="00790864"/>
    <w:rsid w:val="007917BA"/>
    <w:rsid w:val="0079190D"/>
    <w:rsid w:val="00791C2E"/>
    <w:rsid w:val="00791CBE"/>
    <w:rsid w:val="007921EF"/>
    <w:rsid w:val="007928B7"/>
    <w:rsid w:val="00792C2A"/>
    <w:rsid w:val="00792D4E"/>
    <w:rsid w:val="007943BF"/>
    <w:rsid w:val="00794872"/>
    <w:rsid w:val="0079526E"/>
    <w:rsid w:val="0079617C"/>
    <w:rsid w:val="0079621B"/>
    <w:rsid w:val="00796562"/>
    <w:rsid w:val="00797474"/>
    <w:rsid w:val="007974DE"/>
    <w:rsid w:val="0079769D"/>
    <w:rsid w:val="007A14C7"/>
    <w:rsid w:val="007A1788"/>
    <w:rsid w:val="007A1CA9"/>
    <w:rsid w:val="007A2280"/>
    <w:rsid w:val="007A2F9D"/>
    <w:rsid w:val="007A332F"/>
    <w:rsid w:val="007A3EFA"/>
    <w:rsid w:val="007A44B4"/>
    <w:rsid w:val="007A596C"/>
    <w:rsid w:val="007A5EFE"/>
    <w:rsid w:val="007A6515"/>
    <w:rsid w:val="007A6550"/>
    <w:rsid w:val="007A68B5"/>
    <w:rsid w:val="007A69F8"/>
    <w:rsid w:val="007A7A93"/>
    <w:rsid w:val="007A7D3D"/>
    <w:rsid w:val="007B0E1B"/>
    <w:rsid w:val="007B225D"/>
    <w:rsid w:val="007B228E"/>
    <w:rsid w:val="007B2879"/>
    <w:rsid w:val="007B3146"/>
    <w:rsid w:val="007B3C42"/>
    <w:rsid w:val="007B42C7"/>
    <w:rsid w:val="007B4FE7"/>
    <w:rsid w:val="007B518B"/>
    <w:rsid w:val="007B5E08"/>
    <w:rsid w:val="007B60E7"/>
    <w:rsid w:val="007B6A3E"/>
    <w:rsid w:val="007B7066"/>
    <w:rsid w:val="007B70C6"/>
    <w:rsid w:val="007B77D8"/>
    <w:rsid w:val="007B79FE"/>
    <w:rsid w:val="007B7B0F"/>
    <w:rsid w:val="007B7F94"/>
    <w:rsid w:val="007C0FCE"/>
    <w:rsid w:val="007C145B"/>
    <w:rsid w:val="007C1714"/>
    <w:rsid w:val="007C174F"/>
    <w:rsid w:val="007C1B61"/>
    <w:rsid w:val="007C1C64"/>
    <w:rsid w:val="007C1FFE"/>
    <w:rsid w:val="007C20EE"/>
    <w:rsid w:val="007C22FD"/>
    <w:rsid w:val="007C26E4"/>
    <w:rsid w:val="007C2A80"/>
    <w:rsid w:val="007C3287"/>
    <w:rsid w:val="007C33A1"/>
    <w:rsid w:val="007C37A5"/>
    <w:rsid w:val="007C4413"/>
    <w:rsid w:val="007C4601"/>
    <w:rsid w:val="007C4E88"/>
    <w:rsid w:val="007C5000"/>
    <w:rsid w:val="007C50F4"/>
    <w:rsid w:val="007C53B3"/>
    <w:rsid w:val="007C5759"/>
    <w:rsid w:val="007C6115"/>
    <w:rsid w:val="007C69A8"/>
    <w:rsid w:val="007D03EA"/>
    <w:rsid w:val="007D1999"/>
    <w:rsid w:val="007D224B"/>
    <w:rsid w:val="007D29C2"/>
    <w:rsid w:val="007D3682"/>
    <w:rsid w:val="007D4917"/>
    <w:rsid w:val="007D5AD2"/>
    <w:rsid w:val="007D7B29"/>
    <w:rsid w:val="007E0069"/>
    <w:rsid w:val="007E1444"/>
    <w:rsid w:val="007E1C90"/>
    <w:rsid w:val="007E3534"/>
    <w:rsid w:val="007E3578"/>
    <w:rsid w:val="007E48BC"/>
    <w:rsid w:val="007E4985"/>
    <w:rsid w:val="007E5425"/>
    <w:rsid w:val="007E5615"/>
    <w:rsid w:val="007E56E9"/>
    <w:rsid w:val="007E58D9"/>
    <w:rsid w:val="007E6D3F"/>
    <w:rsid w:val="007E765A"/>
    <w:rsid w:val="007E7761"/>
    <w:rsid w:val="007E79F7"/>
    <w:rsid w:val="007F0A54"/>
    <w:rsid w:val="007F0D9D"/>
    <w:rsid w:val="007F0E9F"/>
    <w:rsid w:val="007F1BF1"/>
    <w:rsid w:val="007F1DB3"/>
    <w:rsid w:val="007F22EA"/>
    <w:rsid w:val="007F2526"/>
    <w:rsid w:val="007F34EA"/>
    <w:rsid w:val="007F3630"/>
    <w:rsid w:val="007F45F0"/>
    <w:rsid w:val="007F4A3D"/>
    <w:rsid w:val="007F57D8"/>
    <w:rsid w:val="007F58A6"/>
    <w:rsid w:val="007F664A"/>
    <w:rsid w:val="007F68EC"/>
    <w:rsid w:val="007F713B"/>
    <w:rsid w:val="007F7190"/>
    <w:rsid w:val="007F748D"/>
    <w:rsid w:val="007F781F"/>
    <w:rsid w:val="007F7FBF"/>
    <w:rsid w:val="007F7FFC"/>
    <w:rsid w:val="0080083F"/>
    <w:rsid w:val="00800E2A"/>
    <w:rsid w:val="00800E41"/>
    <w:rsid w:val="00801482"/>
    <w:rsid w:val="00801864"/>
    <w:rsid w:val="00801B7D"/>
    <w:rsid w:val="008035AE"/>
    <w:rsid w:val="00803910"/>
    <w:rsid w:val="008039C6"/>
    <w:rsid w:val="0080434D"/>
    <w:rsid w:val="00804B09"/>
    <w:rsid w:val="00804FA4"/>
    <w:rsid w:val="0080620D"/>
    <w:rsid w:val="00806A6D"/>
    <w:rsid w:val="00807559"/>
    <w:rsid w:val="00807751"/>
    <w:rsid w:val="00810A05"/>
    <w:rsid w:val="00810FF9"/>
    <w:rsid w:val="0081198F"/>
    <w:rsid w:val="00812BE0"/>
    <w:rsid w:val="00813A67"/>
    <w:rsid w:val="00813E97"/>
    <w:rsid w:val="00813F05"/>
    <w:rsid w:val="00814C22"/>
    <w:rsid w:val="00815A5F"/>
    <w:rsid w:val="00817247"/>
    <w:rsid w:val="00820207"/>
    <w:rsid w:val="00821742"/>
    <w:rsid w:val="00822094"/>
    <w:rsid w:val="00822179"/>
    <w:rsid w:val="0082265A"/>
    <w:rsid w:val="00822D2C"/>
    <w:rsid w:val="008237DA"/>
    <w:rsid w:val="00825C69"/>
    <w:rsid w:val="00825CE6"/>
    <w:rsid w:val="008262A4"/>
    <w:rsid w:val="00826661"/>
    <w:rsid w:val="008277B3"/>
    <w:rsid w:val="00827FAD"/>
    <w:rsid w:val="00830AEC"/>
    <w:rsid w:val="00830C37"/>
    <w:rsid w:val="00830D9D"/>
    <w:rsid w:val="00831281"/>
    <w:rsid w:val="0083283F"/>
    <w:rsid w:val="00832A66"/>
    <w:rsid w:val="008331D2"/>
    <w:rsid w:val="008339C3"/>
    <w:rsid w:val="00833FD0"/>
    <w:rsid w:val="00834208"/>
    <w:rsid w:val="00834854"/>
    <w:rsid w:val="0083513B"/>
    <w:rsid w:val="00835A86"/>
    <w:rsid w:val="00835E52"/>
    <w:rsid w:val="008360A0"/>
    <w:rsid w:val="008362D4"/>
    <w:rsid w:val="008363DC"/>
    <w:rsid w:val="0083691A"/>
    <w:rsid w:val="0083773E"/>
    <w:rsid w:val="00840309"/>
    <w:rsid w:val="00841888"/>
    <w:rsid w:val="008419C3"/>
    <w:rsid w:val="008433F8"/>
    <w:rsid w:val="008438C1"/>
    <w:rsid w:val="008444BA"/>
    <w:rsid w:val="008450BC"/>
    <w:rsid w:val="0084547B"/>
    <w:rsid w:val="00846161"/>
    <w:rsid w:val="00852010"/>
    <w:rsid w:val="008528BC"/>
    <w:rsid w:val="0085313B"/>
    <w:rsid w:val="0085334B"/>
    <w:rsid w:val="00854036"/>
    <w:rsid w:val="00855484"/>
    <w:rsid w:val="00855E5A"/>
    <w:rsid w:val="00856767"/>
    <w:rsid w:val="00856977"/>
    <w:rsid w:val="00856D43"/>
    <w:rsid w:val="00856FF3"/>
    <w:rsid w:val="00857BF3"/>
    <w:rsid w:val="0086015E"/>
    <w:rsid w:val="0086327B"/>
    <w:rsid w:val="00863AEB"/>
    <w:rsid w:val="008644FE"/>
    <w:rsid w:val="008648DF"/>
    <w:rsid w:val="00865449"/>
    <w:rsid w:val="00865BCB"/>
    <w:rsid w:val="008676B1"/>
    <w:rsid w:val="00867AFA"/>
    <w:rsid w:val="00867C8F"/>
    <w:rsid w:val="00870214"/>
    <w:rsid w:val="00870E6F"/>
    <w:rsid w:val="00871D1D"/>
    <w:rsid w:val="008726EE"/>
    <w:rsid w:val="008730C8"/>
    <w:rsid w:val="0087583E"/>
    <w:rsid w:val="0087653D"/>
    <w:rsid w:val="00876C14"/>
    <w:rsid w:val="00877B7C"/>
    <w:rsid w:val="008801F4"/>
    <w:rsid w:val="00880F86"/>
    <w:rsid w:val="008814D0"/>
    <w:rsid w:val="00881547"/>
    <w:rsid w:val="00883052"/>
    <w:rsid w:val="00883B82"/>
    <w:rsid w:val="0088449C"/>
    <w:rsid w:val="008850AF"/>
    <w:rsid w:val="00885C51"/>
    <w:rsid w:val="00885EB0"/>
    <w:rsid w:val="00885F9C"/>
    <w:rsid w:val="00886FBB"/>
    <w:rsid w:val="00890724"/>
    <w:rsid w:val="00890B46"/>
    <w:rsid w:val="00891631"/>
    <w:rsid w:val="00891F4B"/>
    <w:rsid w:val="0089264A"/>
    <w:rsid w:val="00892D24"/>
    <w:rsid w:val="0089480F"/>
    <w:rsid w:val="00894959"/>
    <w:rsid w:val="008949E3"/>
    <w:rsid w:val="00895BD9"/>
    <w:rsid w:val="00895CF5"/>
    <w:rsid w:val="00895EC0"/>
    <w:rsid w:val="00896B44"/>
    <w:rsid w:val="00896B85"/>
    <w:rsid w:val="00896DE3"/>
    <w:rsid w:val="008A0CDF"/>
    <w:rsid w:val="008A21FD"/>
    <w:rsid w:val="008A22BE"/>
    <w:rsid w:val="008A2A7E"/>
    <w:rsid w:val="008A2F0B"/>
    <w:rsid w:val="008A351B"/>
    <w:rsid w:val="008A36BF"/>
    <w:rsid w:val="008A3C6F"/>
    <w:rsid w:val="008A47F7"/>
    <w:rsid w:val="008A7500"/>
    <w:rsid w:val="008B0506"/>
    <w:rsid w:val="008B074C"/>
    <w:rsid w:val="008B1645"/>
    <w:rsid w:val="008B1875"/>
    <w:rsid w:val="008B2CC6"/>
    <w:rsid w:val="008B4778"/>
    <w:rsid w:val="008B4E0B"/>
    <w:rsid w:val="008B51A4"/>
    <w:rsid w:val="008B5484"/>
    <w:rsid w:val="008B7C68"/>
    <w:rsid w:val="008C018A"/>
    <w:rsid w:val="008C063F"/>
    <w:rsid w:val="008C07FD"/>
    <w:rsid w:val="008C0C70"/>
    <w:rsid w:val="008C0CEB"/>
    <w:rsid w:val="008C137B"/>
    <w:rsid w:val="008C13B1"/>
    <w:rsid w:val="008C189D"/>
    <w:rsid w:val="008C1987"/>
    <w:rsid w:val="008C1B36"/>
    <w:rsid w:val="008C2239"/>
    <w:rsid w:val="008C26D3"/>
    <w:rsid w:val="008C3011"/>
    <w:rsid w:val="008C73A4"/>
    <w:rsid w:val="008C78F7"/>
    <w:rsid w:val="008C7D6A"/>
    <w:rsid w:val="008D06C6"/>
    <w:rsid w:val="008D0CCF"/>
    <w:rsid w:val="008D1959"/>
    <w:rsid w:val="008D1E85"/>
    <w:rsid w:val="008D1E9F"/>
    <w:rsid w:val="008D20B6"/>
    <w:rsid w:val="008D25F6"/>
    <w:rsid w:val="008D2CBD"/>
    <w:rsid w:val="008D2E0D"/>
    <w:rsid w:val="008D35ED"/>
    <w:rsid w:val="008D36E8"/>
    <w:rsid w:val="008D383E"/>
    <w:rsid w:val="008D46B0"/>
    <w:rsid w:val="008D49BB"/>
    <w:rsid w:val="008D54E3"/>
    <w:rsid w:val="008D639F"/>
    <w:rsid w:val="008D6B6E"/>
    <w:rsid w:val="008D6D9C"/>
    <w:rsid w:val="008E029A"/>
    <w:rsid w:val="008E07D3"/>
    <w:rsid w:val="008E1766"/>
    <w:rsid w:val="008E1DF9"/>
    <w:rsid w:val="008E20DA"/>
    <w:rsid w:val="008E46FC"/>
    <w:rsid w:val="008E509A"/>
    <w:rsid w:val="008E5449"/>
    <w:rsid w:val="008E55E9"/>
    <w:rsid w:val="008E5B0C"/>
    <w:rsid w:val="008E5BBC"/>
    <w:rsid w:val="008E5D55"/>
    <w:rsid w:val="008E5E09"/>
    <w:rsid w:val="008E6250"/>
    <w:rsid w:val="008E6DF0"/>
    <w:rsid w:val="008F008B"/>
    <w:rsid w:val="008F0227"/>
    <w:rsid w:val="008F1B80"/>
    <w:rsid w:val="008F225E"/>
    <w:rsid w:val="008F26B3"/>
    <w:rsid w:val="008F2D2A"/>
    <w:rsid w:val="008F4018"/>
    <w:rsid w:val="008F6642"/>
    <w:rsid w:val="008F6C96"/>
    <w:rsid w:val="008F6D41"/>
    <w:rsid w:val="008F703C"/>
    <w:rsid w:val="008F7CD4"/>
    <w:rsid w:val="0090057E"/>
    <w:rsid w:val="00900A75"/>
    <w:rsid w:val="00901167"/>
    <w:rsid w:val="00902AF6"/>
    <w:rsid w:val="0090307B"/>
    <w:rsid w:val="009032A8"/>
    <w:rsid w:val="00903656"/>
    <w:rsid w:val="009040B3"/>
    <w:rsid w:val="009040DD"/>
    <w:rsid w:val="009043B8"/>
    <w:rsid w:val="0090479B"/>
    <w:rsid w:val="0090603D"/>
    <w:rsid w:val="00906136"/>
    <w:rsid w:val="00906C81"/>
    <w:rsid w:val="00906DDB"/>
    <w:rsid w:val="00907BAB"/>
    <w:rsid w:val="00911A80"/>
    <w:rsid w:val="00911CBF"/>
    <w:rsid w:val="00913105"/>
    <w:rsid w:val="009134D7"/>
    <w:rsid w:val="00913A7F"/>
    <w:rsid w:val="00913EAF"/>
    <w:rsid w:val="0091462E"/>
    <w:rsid w:val="00914769"/>
    <w:rsid w:val="00915265"/>
    <w:rsid w:val="009157B5"/>
    <w:rsid w:val="009160D7"/>
    <w:rsid w:val="0091639A"/>
    <w:rsid w:val="00917575"/>
    <w:rsid w:val="00920249"/>
    <w:rsid w:val="0092053E"/>
    <w:rsid w:val="00920DA3"/>
    <w:rsid w:val="00921153"/>
    <w:rsid w:val="009213F9"/>
    <w:rsid w:val="00922194"/>
    <w:rsid w:val="00922B21"/>
    <w:rsid w:val="00922EE0"/>
    <w:rsid w:val="00923023"/>
    <w:rsid w:val="00924AE2"/>
    <w:rsid w:val="00924C80"/>
    <w:rsid w:val="009253B1"/>
    <w:rsid w:val="00925597"/>
    <w:rsid w:val="00926D18"/>
    <w:rsid w:val="00927356"/>
    <w:rsid w:val="009278E8"/>
    <w:rsid w:val="00927E61"/>
    <w:rsid w:val="00931380"/>
    <w:rsid w:val="009315F1"/>
    <w:rsid w:val="009319B1"/>
    <w:rsid w:val="00931CCD"/>
    <w:rsid w:val="00932F14"/>
    <w:rsid w:val="009345BA"/>
    <w:rsid w:val="00934B28"/>
    <w:rsid w:val="009350B7"/>
    <w:rsid w:val="00936CF8"/>
    <w:rsid w:val="00937067"/>
    <w:rsid w:val="00937C9E"/>
    <w:rsid w:val="00940D2C"/>
    <w:rsid w:val="009411D1"/>
    <w:rsid w:val="00941F0E"/>
    <w:rsid w:val="0094247F"/>
    <w:rsid w:val="00942D60"/>
    <w:rsid w:val="00943747"/>
    <w:rsid w:val="00945EAF"/>
    <w:rsid w:val="00946361"/>
    <w:rsid w:val="0094712A"/>
    <w:rsid w:val="0094717D"/>
    <w:rsid w:val="00947211"/>
    <w:rsid w:val="009476FE"/>
    <w:rsid w:val="009478BB"/>
    <w:rsid w:val="00947B4A"/>
    <w:rsid w:val="00950148"/>
    <w:rsid w:val="0095039D"/>
    <w:rsid w:val="00951BA2"/>
    <w:rsid w:val="0095388A"/>
    <w:rsid w:val="00954286"/>
    <w:rsid w:val="00954913"/>
    <w:rsid w:val="0095529E"/>
    <w:rsid w:val="00955398"/>
    <w:rsid w:val="009556A8"/>
    <w:rsid w:val="00955B49"/>
    <w:rsid w:val="00956E05"/>
    <w:rsid w:val="00956F2B"/>
    <w:rsid w:val="0095723F"/>
    <w:rsid w:val="009578FE"/>
    <w:rsid w:val="00960317"/>
    <w:rsid w:val="00960FD1"/>
    <w:rsid w:val="0096211E"/>
    <w:rsid w:val="00963031"/>
    <w:rsid w:val="0096463B"/>
    <w:rsid w:val="009647FD"/>
    <w:rsid w:val="0096523B"/>
    <w:rsid w:val="00965836"/>
    <w:rsid w:val="00965F53"/>
    <w:rsid w:val="0096694D"/>
    <w:rsid w:val="00966C47"/>
    <w:rsid w:val="00966E4A"/>
    <w:rsid w:val="00966EBB"/>
    <w:rsid w:val="00966EE3"/>
    <w:rsid w:val="00967B95"/>
    <w:rsid w:val="00967D28"/>
    <w:rsid w:val="00971E9B"/>
    <w:rsid w:val="0097272A"/>
    <w:rsid w:val="009727F5"/>
    <w:rsid w:val="00972A56"/>
    <w:rsid w:val="00972A73"/>
    <w:rsid w:val="00972D06"/>
    <w:rsid w:val="0097380E"/>
    <w:rsid w:val="0097402E"/>
    <w:rsid w:val="009749F8"/>
    <w:rsid w:val="00974BDA"/>
    <w:rsid w:val="00974C55"/>
    <w:rsid w:val="00976E06"/>
    <w:rsid w:val="009778EA"/>
    <w:rsid w:val="009805F1"/>
    <w:rsid w:val="00981155"/>
    <w:rsid w:val="00981251"/>
    <w:rsid w:val="00981A05"/>
    <w:rsid w:val="0098249D"/>
    <w:rsid w:val="009824F0"/>
    <w:rsid w:val="009845FB"/>
    <w:rsid w:val="009846CE"/>
    <w:rsid w:val="00984C33"/>
    <w:rsid w:val="00984C98"/>
    <w:rsid w:val="00985185"/>
    <w:rsid w:val="0098554C"/>
    <w:rsid w:val="0098583E"/>
    <w:rsid w:val="00985980"/>
    <w:rsid w:val="00985B2E"/>
    <w:rsid w:val="00985B6B"/>
    <w:rsid w:val="00985F94"/>
    <w:rsid w:val="00986142"/>
    <w:rsid w:val="0098737C"/>
    <w:rsid w:val="009903BA"/>
    <w:rsid w:val="00991A9C"/>
    <w:rsid w:val="00991C10"/>
    <w:rsid w:val="009925A0"/>
    <w:rsid w:val="00995194"/>
    <w:rsid w:val="00995F04"/>
    <w:rsid w:val="00996E46"/>
    <w:rsid w:val="009A0850"/>
    <w:rsid w:val="009A09BB"/>
    <w:rsid w:val="009A0DDE"/>
    <w:rsid w:val="009A0F61"/>
    <w:rsid w:val="009A15BE"/>
    <w:rsid w:val="009A236E"/>
    <w:rsid w:val="009A283F"/>
    <w:rsid w:val="009A2D65"/>
    <w:rsid w:val="009A2F35"/>
    <w:rsid w:val="009A37AA"/>
    <w:rsid w:val="009A391C"/>
    <w:rsid w:val="009A3A69"/>
    <w:rsid w:val="009A50F2"/>
    <w:rsid w:val="009A517E"/>
    <w:rsid w:val="009A598B"/>
    <w:rsid w:val="009A5996"/>
    <w:rsid w:val="009A7346"/>
    <w:rsid w:val="009A7D02"/>
    <w:rsid w:val="009A7E87"/>
    <w:rsid w:val="009B052E"/>
    <w:rsid w:val="009B0923"/>
    <w:rsid w:val="009B0E75"/>
    <w:rsid w:val="009B1B95"/>
    <w:rsid w:val="009B1BAC"/>
    <w:rsid w:val="009B2127"/>
    <w:rsid w:val="009B288D"/>
    <w:rsid w:val="009B31C6"/>
    <w:rsid w:val="009B3C52"/>
    <w:rsid w:val="009B3E80"/>
    <w:rsid w:val="009B3E87"/>
    <w:rsid w:val="009B4A67"/>
    <w:rsid w:val="009B58B8"/>
    <w:rsid w:val="009B5F79"/>
    <w:rsid w:val="009B6B80"/>
    <w:rsid w:val="009B6C74"/>
    <w:rsid w:val="009B7969"/>
    <w:rsid w:val="009C11D3"/>
    <w:rsid w:val="009C13FB"/>
    <w:rsid w:val="009C2007"/>
    <w:rsid w:val="009C28F2"/>
    <w:rsid w:val="009C29C1"/>
    <w:rsid w:val="009C32C9"/>
    <w:rsid w:val="009C3479"/>
    <w:rsid w:val="009C4755"/>
    <w:rsid w:val="009C4860"/>
    <w:rsid w:val="009C4C50"/>
    <w:rsid w:val="009C5135"/>
    <w:rsid w:val="009C61E1"/>
    <w:rsid w:val="009C6B56"/>
    <w:rsid w:val="009D07E4"/>
    <w:rsid w:val="009D16E3"/>
    <w:rsid w:val="009D26C3"/>
    <w:rsid w:val="009D2981"/>
    <w:rsid w:val="009D3421"/>
    <w:rsid w:val="009D3801"/>
    <w:rsid w:val="009D724F"/>
    <w:rsid w:val="009E0A61"/>
    <w:rsid w:val="009E0AB6"/>
    <w:rsid w:val="009E1E84"/>
    <w:rsid w:val="009E20D3"/>
    <w:rsid w:val="009E2325"/>
    <w:rsid w:val="009E263C"/>
    <w:rsid w:val="009E2726"/>
    <w:rsid w:val="009E2A21"/>
    <w:rsid w:val="009E3010"/>
    <w:rsid w:val="009E30D4"/>
    <w:rsid w:val="009E3FD5"/>
    <w:rsid w:val="009E745B"/>
    <w:rsid w:val="009E74B7"/>
    <w:rsid w:val="009E78C3"/>
    <w:rsid w:val="009F007E"/>
    <w:rsid w:val="009F12C4"/>
    <w:rsid w:val="009F1525"/>
    <w:rsid w:val="009F1CA9"/>
    <w:rsid w:val="009F36D7"/>
    <w:rsid w:val="009F3EEC"/>
    <w:rsid w:val="009F4600"/>
    <w:rsid w:val="009F4F79"/>
    <w:rsid w:val="009F5DFC"/>
    <w:rsid w:val="009F61ED"/>
    <w:rsid w:val="009F6928"/>
    <w:rsid w:val="009F6978"/>
    <w:rsid w:val="009F7065"/>
    <w:rsid w:val="009F73F2"/>
    <w:rsid w:val="00A00376"/>
    <w:rsid w:val="00A008F8"/>
    <w:rsid w:val="00A016C9"/>
    <w:rsid w:val="00A0278F"/>
    <w:rsid w:val="00A032B5"/>
    <w:rsid w:val="00A0383B"/>
    <w:rsid w:val="00A03ADD"/>
    <w:rsid w:val="00A06D90"/>
    <w:rsid w:val="00A10469"/>
    <w:rsid w:val="00A10DCC"/>
    <w:rsid w:val="00A112E0"/>
    <w:rsid w:val="00A12286"/>
    <w:rsid w:val="00A12675"/>
    <w:rsid w:val="00A12B37"/>
    <w:rsid w:val="00A13333"/>
    <w:rsid w:val="00A1371D"/>
    <w:rsid w:val="00A13807"/>
    <w:rsid w:val="00A14672"/>
    <w:rsid w:val="00A149D3"/>
    <w:rsid w:val="00A14AF4"/>
    <w:rsid w:val="00A151E4"/>
    <w:rsid w:val="00A15EC0"/>
    <w:rsid w:val="00A176DA"/>
    <w:rsid w:val="00A20986"/>
    <w:rsid w:val="00A21DB1"/>
    <w:rsid w:val="00A228EB"/>
    <w:rsid w:val="00A25053"/>
    <w:rsid w:val="00A308EA"/>
    <w:rsid w:val="00A31123"/>
    <w:rsid w:val="00A3143A"/>
    <w:rsid w:val="00A31765"/>
    <w:rsid w:val="00A328EB"/>
    <w:rsid w:val="00A32968"/>
    <w:rsid w:val="00A32E5A"/>
    <w:rsid w:val="00A34285"/>
    <w:rsid w:val="00A34400"/>
    <w:rsid w:val="00A348C0"/>
    <w:rsid w:val="00A369EE"/>
    <w:rsid w:val="00A36E63"/>
    <w:rsid w:val="00A36EA8"/>
    <w:rsid w:val="00A375A1"/>
    <w:rsid w:val="00A37922"/>
    <w:rsid w:val="00A37A84"/>
    <w:rsid w:val="00A37B9D"/>
    <w:rsid w:val="00A407D3"/>
    <w:rsid w:val="00A40830"/>
    <w:rsid w:val="00A4175D"/>
    <w:rsid w:val="00A42137"/>
    <w:rsid w:val="00A4253D"/>
    <w:rsid w:val="00A42C53"/>
    <w:rsid w:val="00A4322A"/>
    <w:rsid w:val="00A436DD"/>
    <w:rsid w:val="00A44716"/>
    <w:rsid w:val="00A45273"/>
    <w:rsid w:val="00A46A49"/>
    <w:rsid w:val="00A46D92"/>
    <w:rsid w:val="00A47551"/>
    <w:rsid w:val="00A5115D"/>
    <w:rsid w:val="00A522C1"/>
    <w:rsid w:val="00A53886"/>
    <w:rsid w:val="00A5391E"/>
    <w:rsid w:val="00A53FD3"/>
    <w:rsid w:val="00A56032"/>
    <w:rsid w:val="00A560F6"/>
    <w:rsid w:val="00A56280"/>
    <w:rsid w:val="00A56DC7"/>
    <w:rsid w:val="00A57F29"/>
    <w:rsid w:val="00A60AE4"/>
    <w:rsid w:val="00A615EC"/>
    <w:rsid w:val="00A61A58"/>
    <w:rsid w:val="00A61F84"/>
    <w:rsid w:val="00A648B2"/>
    <w:rsid w:val="00A64922"/>
    <w:rsid w:val="00A6574F"/>
    <w:rsid w:val="00A65AD5"/>
    <w:rsid w:val="00A65AE0"/>
    <w:rsid w:val="00A65E99"/>
    <w:rsid w:val="00A660E3"/>
    <w:rsid w:val="00A66985"/>
    <w:rsid w:val="00A67133"/>
    <w:rsid w:val="00A67872"/>
    <w:rsid w:val="00A70505"/>
    <w:rsid w:val="00A70E4D"/>
    <w:rsid w:val="00A71244"/>
    <w:rsid w:val="00A716BC"/>
    <w:rsid w:val="00A71C4D"/>
    <w:rsid w:val="00A722B3"/>
    <w:rsid w:val="00A727B2"/>
    <w:rsid w:val="00A72E42"/>
    <w:rsid w:val="00A73218"/>
    <w:rsid w:val="00A737A5"/>
    <w:rsid w:val="00A73937"/>
    <w:rsid w:val="00A743DD"/>
    <w:rsid w:val="00A7464E"/>
    <w:rsid w:val="00A74E10"/>
    <w:rsid w:val="00A74FD1"/>
    <w:rsid w:val="00A7520E"/>
    <w:rsid w:val="00A75D16"/>
    <w:rsid w:val="00A7696A"/>
    <w:rsid w:val="00A77BFA"/>
    <w:rsid w:val="00A807DB"/>
    <w:rsid w:val="00A81767"/>
    <w:rsid w:val="00A8190C"/>
    <w:rsid w:val="00A81EF9"/>
    <w:rsid w:val="00A82EC4"/>
    <w:rsid w:val="00A84045"/>
    <w:rsid w:val="00A84A58"/>
    <w:rsid w:val="00A8515B"/>
    <w:rsid w:val="00A851DF"/>
    <w:rsid w:val="00A85D5E"/>
    <w:rsid w:val="00A8602E"/>
    <w:rsid w:val="00A86999"/>
    <w:rsid w:val="00A86A9B"/>
    <w:rsid w:val="00A87367"/>
    <w:rsid w:val="00A87772"/>
    <w:rsid w:val="00A87982"/>
    <w:rsid w:val="00A9031C"/>
    <w:rsid w:val="00A90FFC"/>
    <w:rsid w:val="00A91515"/>
    <w:rsid w:val="00A91EAE"/>
    <w:rsid w:val="00A91EE6"/>
    <w:rsid w:val="00A92768"/>
    <w:rsid w:val="00A93274"/>
    <w:rsid w:val="00A936FD"/>
    <w:rsid w:val="00A94A7E"/>
    <w:rsid w:val="00A955E5"/>
    <w:rsid w:val="00A95E1C"/>
    <w:rsid w:val="00A96E4E"/>
    <w:rsid w:val="00A9786B"/>
    <w:rsid w:val="00AA0AD0"/>
    <w:rsid w:val="00AA0FA9"/>
    <w:rsid w:val="00AA1460"/>
    <w:rsid w:val="00AA1F55"/>
    <w:rsid w:val="00AA2ABB"/>
    <w:rsid w:val="00AA6070"/>
    <w:rsid w:val="00AA6B6D"/>
    <w:rsid w:val="00AA7391"/>
    <w:rsid w:val="00AA77A0"/>
    <w:rsid w:val="00AB00B0"/>
    <w:rsid w:val="00AB0339"/>
    <w:rsid w:val="00AB1B58"/>
    <w:rsid w:val="00AB2C04"/>
    <w:rsid w:val="00AB37E9"/>
    <w:rsid w:val="00AB3851"/>
    <w:rsid w:val="00AB3890"/>
    <w:rsid w:val="00AB4159"/>
    <w:rsid w:val="00AB5536"/>
    <w:rsid w:val="00AB580F"/>
    <w:rsid w:val="00AB598E"/>
    <w:rsid w:val="00AB66B4"/>
    <w:rsid w:val="00AB6961"/>
    <w:rsid w:val="00AB69F9"/>
    <w:rsid w:val="00AB7777"/>
    <w:rsid w:val="00AB7F8C"/>
    <w:rsid w:val="00AC0F07"/>
    <w:rsid w:val="00AC129D"/>
    <w:rsid w:val="00AC1892"/>
    <w:rsid w:val="00AC1E01"/>
    <w:rsid w:val="00AC2543"/>
    <w:rsid w:val="00AC2A63"/>
    <w:rsid w:val="00AC3EEF"/>
    <w:rsid w:val="00AC43D5"/>
    <w:rsid w:val="00AC51F8"/>
    <w:rsid w:val="00AC67C1"/>
    <w:rsid w:val="00AC7874"/>
    <w:rsid w:val="00AD2ACC"/>
    <w:rsid w:val="00AD2B94"/>
    <w:rsid w:val="00AD311B"/>
    <w:rsid w:val="00AD3CDF"/>
    <w:rsid w:val="00AD415B"/>
    <w:rsid w:val="00AD43F9"/>
    <w:rsid w:val="00AD44E4"/>
    <w:rsid w:val="00AD5CAB"/>
    <w:rsid w:val="00AD5CFA"/>
    <w:rsid w:val="00AE00EF"/>
    <w:rsid w:val="00AE0B1B"/>
    <w:rsid w:val="00AE0B82"/>
    <w:rsid w:val="00AE102B"/>
    <w:rsid w:val="00AE1201"/>
    <w:rsid w:val="00AE15C5"/>
    <w:rsid w:val="00AE2EFD"/>
    <w:rsid w:val="00AE37C2"/>
    <w:rsid w:val="00AE3E4A"/>
    <w:rsid w:val="00AE5424"/>
    <w:rsid w:val="00AE5AD8"/>
    <w:rsid w:val="00AE5C91"/>
    <w:rsid w:val="00AE5D41"/>
    <w:rsid w:val="00AE6583"/>
    <w:rsid w:val="00AE7084"/>
    <w:rsid w:val="00AE7256"/>
    <w:rsid w:val="00AE7872"/>
    <w:rsid w:val="00AF06FC"/>
    <w:rsid w:val="00AF0A03"/>
    <w:rsid w:val="00AF3391"/>
    <w:rsid w:val="00AF387F"/>
    <w:rsid w:val="00AF3CC5"/>
    <w:rsid w:val="00AF405C"/>
    <w:rsid w:val="00AF49EA"/>
    <w:rsid w:val="00AF4D0E"/>
    <w:rsid w:val="00AF4DE5"/>
    <w:rsid w:val="00AF4F25"/>
    <w:rsid w:val="00AF57DC"/>
    <w:rsid w:val="00AF5CB2"/>
    <w:rsid w:val="00AF5F95"/>
    <w:rsid w:val="00AF69B2"/>
    <w:rsid w:val="00AF75E5"/>
    <w:rsid w:val="00AF7B65"/>
    <w:rsid w:val="00B00103"/>
    <w:rsid w:val="00B0053D"/>
    <w:rsid w:val="00B00910"/>
    <w:rsid w:val="00B00E1F"/>
    <w:rsid w:val="00B00E7F"/>
    <w:rsid w:val="00B020F2"/>
    <w:rsid w:val="00B02D62"/>
    <w:rsid w:val="00B05594"/>
    <w:rsid w:val="00B0566D"/>
    <w:rsid w:val="00B06485"/>
    <w:rsid w:val="00B069E3"/>
    <w:rsid w:val="00B10927"/>
    <w:rsid w:val="00B10ABC"/>
    <w:rsid w:val="00B10C6C"/>
    <w:rsid w:val="00B11596"/>
    <w:rsid w:val="00B11906"/>
    <w:rsid w:val="00B11F63"/>
    <w:rsid w:val="00B12972"/>
    <w:rsid w:val="00B12AA6"/>
    <w:rsid w:val="00B12D67"/>
    <w:rsid w:val="00B12F1E"/>
    <w:rsid w:val="00B1344D"/>
    <w:rsid w:val="00B15876"/>
    <w:rsid w:val="00B15C9A"/>
    <w:rsid w:val="00B173DA"/>
    <w:rsid w:val="00B17620"/>
    <w:rsid w:val="00B2026B"/>
    <w:rsid w:val="00B21BEE"/>
    <w:rsid w:val="00B21DCC"/>
    <w:rsid w:val="00B22DAC"/>
    <w:rsid w:val="00B241F6"/>
    <w:rsid w:val="00B24770"/>
    <w:rsid w:val="00B25F37"/>
    <w:rsid w:val="00B262FD"/>
    <w:rsid w:val="00B264CA"/>
    <w:rsid w:val="00B277AF"/>
    <w:rsid w:val="00B27E1F"/>
    <w:rsid w:val="00B30119"/>
    <w:rsid w:val="00B31138"/>
    <w:rsid w:val="00B3162D"/>
    <w:rsid w:val="00B320C8"/>
    <w:rsid w:val="00B32383"/>
    <w:rsid w:val="00B323C1"/>
    <w:rsid w:val="00B32D78"/>
    <w:rsid w:val="00B3360C"/>
    <w:rsid w:val="00B3365E"/>
    <w:rsid w:val="00B33DCF"/>
    <w:rsid w:val="00B34A25"/>
    <w:rsid w:val="00B351ED"/>
    <w:rsid w:val="00B3642B"/>
    <w:rsid w:val="00B37BF0"/>
    <w:rsid w:val="00B37F5F"/>
    <w:rsid w:val="00B4081D"/>
    <w:rsid w:val="00B40D77"/>
    <w:rsid w:val="00B42998"/>
    <w:rsid w:val="00B42DDA"/>
    <w:rsid w:val="00B44422"/>
    <w:rsid w:val="00B4577F"/>
    <w:rsid w:val="00B45837"/>
    <w:rsid w:val="00B466E9"/>
    <w:rsid w:val="00B46703"/>
    <w:rsid w:val="00B469C8"/>
    <w:rsid w:val="00B46D0E"/>
    <w:rsid w:val="00B46EA0"/>
    <w:rsid w:val="00B46EE9"/>
    <w:rsid w:val="00B4736E"/>
    <w:rsid w:val="00B4755A"/>
    <w:rsid w:val="00B47A69"/>
    <w:rsid w:val="00B514DF"/>
    <w:rsid w:val="00B51604"/>
    <w:rsid w:val="00B51A27"/>
    <w:rsid w:val="00B52107"/>
    <w:rsid w:val="00B536C3"/>
    <w:rsid w:val="00B53EA1"/>
    <w:rsid w:val="00B53F5C"/>
    <w:rsid w:val="00B540DA"/>
    <w:rsid w:val="00B5416E"/>
    <w:rsid w:val="00B541B2"/>
    <w:rsid w:val="00B5448F"/>
    <w:rsid w:val="00B54CA0"/>
    <w:rsid w:val="00B55FF8"/>
    <w:rsid w:val="00B5626F"/>
    <w:rsid w:val="00B567A8"/>
    <w:rsid w:val="00B56CCB"/>
    <w:rsid w:val="00B57BF4"/>
    <w:rsid w:val="00B57DAF"/>
    <w:rsid w:val="00B57E2A"/>
    <w:rsid w:val="00B61092"/>
    <w:rsid w:val="00B61CA6"/>
    <w:rsid w:val="00B622C4"/>
    <w:rsid w:val="00B62A85"/>
    <w:rsid w:val="00B63D98"/>
    <w:rsid w:val="00B648B3"/>
    <w:rsid w:val="00B656CC"/>
    <w:rsid w:val="00B65FDF"/>
    <w:rsid w:val="00B664DE"/>
    <w:rsid w:val="00B666CC"/>
    <w:rsid w:val="00B667D0"/>
    <w:rsid w:val="00B6682A"/>
    <w:rsid w:val="00B66984"/>
    <w:rsid w:val="00B673A1"/>
    <w:rsid w:val="00B70213"/>
    <w:rsid w:val="00B71315"/>
    <w:rsid w:val="00B730DB"/>
    <w:rsid w:val="00B731D3"/>
    <w:rsid w:val="00B739C4"/>
    <w:rsid w:val="00B74140"/>
    <w:rsid w:val="00B753A4"/>
    <w:rsid w:val="00B75C4D"/>
    <w:rsid w:val="00B76429"/>
    <w:rsid w:val="00B77739"/>
    <w:rsid w:val="00B81277"/>
    <w:rsid w:val="00B81A22"/>
    <w:rsid w:val="00B839A3"/>
    <w:rsid w:val="00B8729D"/>
    <w:rsid w:val="00B8762C"/>
    <w:rsid w:val="00B90224"/>
    <w:rsid w:val="00B902BD"/>
    <w:rsid w:val="00B90E52"/>
    <w:rsid w:val="00B91F00"/>
    <w:rsid w:val="00B92004"/>
    <w:rsid w:val="00B9212F"/>
    <w:rsid w:val="00B92215"/>
    <w:rsid w:val="00B92320"/>
    <w:rsid w:val="00B92505"/>
    <w:rsid w:val="00B92662"/>
    <w:rsid w:val="00B931D8"/>
    <w:rsid w:val="00B934AF"/>
    <w:rsid w:val="00B93E1A"/>
    <w:rsid w:val="00B9489D"/>
    <w:rsid w:val="00B94ADF"/>
    <w:rsid w:val="00B962C0"/>
    <w:rsid w:val="00B9782C"/>
    <w:rsid w:val="00BA20A9"/>
    <w:rsid w:val="00BA24E2"/>
    <w:rsid w:val="00BA2D77"/>
    <w:rsid w:val="00BA3244"/>
    <w:rsid w:val="00BA3560"/>
    <w:rsid w:val="00BA3AE8"/>
    <w:rsid w:val="00BA4189"/>
    <w:rsid w:val="00BA4607"/>
    <w:rsid w:val="00BA677F"/>
    <w:rsid w:val="00BA69AD"/>
    <w:rsid w:val="00BB189A"/>
    <w:rsid w:val="00BB1E1A"/>
    <w:rsid w:val="00BB3B23"/>
    <w:rsid w:val="00BB3BC8"/>
    <w:rsid w:val="00BB40BB"/>
    <w:rsid w:val="00BB4609"/>
    <w:rsid w:val="00BB4B91"/>
    <w:rsid w:val="00BB6114"/>
    <w:rsid w:val="00BB6693"/>
    <w:rsid w:val="00BB68F1"/>
    <w:rsid w:val="00BB692C"/>
    <w:rsid w:val="00BB6DCF"/>
    <w:rsid w:val="00BB6F18"/>
    <w:rsid w:val="00BB7458"/>
    <w:rsid w:val="00BB79A5"/>
    <w:rsid w:val="00BB7B41"/>
    <w:rsid w:val="00BC039C"/>
    <w:rsid w:val="00BC08C3"/>
    <w:rsid w:val="00BC09AB"/>
    <w:rsid w:val="00BC18CC"/>
    <w:rsid w:val="00BC31F7"/>
    <w:rsid w:val="00BC3B2E"/>
    <w:rsid w:val="00BC3CA8"/>
    <w:rsid w:val="00BC4088"/>
    <w:rsid w:val="00BC41B8"/>
    <w:rsid w:val="00BC4932"/>
    <w:rsid w:val="00BC59ED"/>
    <w:rsid w:val="00BC607D"/>
    <w:rsid w:val="00BC6FF2"/>
    <w:rsid w:val="00BC78D5"/>
    <w:rsid w:val="00BC7913"/>
    <w:rsid w:val="00BC7DFA"/>
    <w:rsid w:val="00BC7EB1"/>
    <w:rsid w:val="00BD0CF7"/>
    <w:rsid w:val="00BD0F76"/>
    <w:rsid w:val="00BD101A"/>
    <w:rsid w:val="00BD1F98"/>
    <w:rsid w:val="00BD2128"/>
    <w:rsid w:val="00BD26E3"/>
    <w:rsid w:val="00BD2A39"/>
    <w:rsid w:val="00BD2E80"/>
    <w:rsid w:val="00BD2FE0"/>
    <w:rsid w:val="00BD30EE"/>
    <w:rsid w:val="00BD35AE"/>
    <w:rsid w:val="00BD3FDF"/>
    <w:rsid w:val="00BD4113"/>
    <w:rsid w:val="00BD5BD9"/>
    <w:rsid w:val="00BD65C4"/>
    <w:rsid w:val="00BD7979"/>
    <w:rsid w:val="00BE0332"/>
    <w:rsid w:val="00BE0A40"/>
    <w:rsid w:val="00BE11B8"/>
    <w:rsid w:val="00BE2126"/>
    <w:rsid w:val="00BE221F"/>
    <w:rsid w:val="00BE26F6"/>
    <w:rsid w:val="00BE299E"/>
    <w:rsid w:val="00BE3200"/>
    <w:rsid w:val="00BE3513"/>
    <w:rsid w:val="00BE3575"/>
    <w:rsid w:val="00BE3EE8"/>
    <w:rsid w:val="00BE493E"/>
    <w:rsid w:val="00BE55B2"/>
    <w:rsid w:val="00BE5BC7"/>
    <w:rsid w:val="00BE5FCE"/>
    <w:rsid w:val="00BE6C84"/>
    <w:rsid w:val="00BE6DAD"/>
    <w:rsid w:val="00BF04A2"/>
    <w:rsid w:val="00BF088C"/>
    <w:rsid w:val="00BF0E2A"/>
    <w:rsid w:val="00BF1654"/>
    <w:rsid w:val="00BF1BA9"/>
    <w:rsid w:val="00BF1E95"/>
    <w:rsid w:val="00BF1EA9"/>
    <w:rsid w:val="00BF2D27"/>
    <w:rsid w:val="00BF306C"/>
    <w:rsid w:val="00BF35B6"/>
    <w:rsid w:val="00BF3AA4"/>
    <w:rsid w:val="00BF5103"/>
    <w:rsid w:val="00BF5C69"/>
    <w:rsid w:val="00BF62C6"/>
    <w:rsid w:val="00BF7C0B"/>
    <w:rsid w:val="00BF7FF0"/>
    <w:rsid w:val="00C00D37"/>
    <w:rsid w:val="00C02068"/>
    <w:rsid w:val="00C0276F"/>
    <w:rsid w:val="00C03504"/>
    <w:rsid w:val="00C03D71"/>
    <w:rsid w:val="00C05574"/>
    <w:rsid w:val="00C057F4"/>
    <w:rsid w:val="00C05923"/>
    <w:rsid w:val="00C10218"/>
    <w:rsid w:val="00C10299"/>
    <w:rsid w:val="00C102AB"/>
    <w:rsid w:val="00C12502"/>
    <w:rsid w:val="00C137EE"/>
    <w:rsid w:val="00C13943"/>
    <w:rsid w:val="00C140BE"/>
    <w:rsid w:val="00C141D7"/>
    <w:rsid w:val="00C141DA"/>
    <w:rsid w:val="00C14AB8"/>
    <w:rsid w:val="00C15626"/>
    <w:rsid w:val="00C1761C"/>
    <w:rsid w:val="00C20BA1"/>
    <w:rsid w:val="00C20C3B"/>
    <w:rsid w:val="00C21615"/>
    <w:rsid w:val="00C219F8"/>
    <w:rsid w:val="00C21AFB"/>
    <w:rsid w:val="00C23950"/>
    <w:rsid w:val="00C2401D"/>
    <w:rsid w:val="00C2458B"/>
    <w:rsid w:val="00C24F88"/>
    <w:rsid w:val="00C254B5"/>
    <w:rsid w:val="00C25700"/>
    <w:rsid w:val="00C25875"/>
    <w:rsid w:val="00C26634"/>
    <w:rsid w:val="00C266C2"/>
    <w:rsid w:val="00C27BAE"/>
    <w:rsid w:val="00C27F3C"/>
    <w:rsid w:val="00C3094F"/>
    <w:rsid w:val="00C33097"/>
    <w:rsid w:val="00C342D7"/>
    <w:rsid w:val="00C3492C"/>
    <w:rsid w:val="00C35A4D"/>
    <w:rsid w:val="00C35A72"/>
    <w:rsid w:val="00C36578"/>
    <w:rsid w:val="00C36B15"/>
    <w:rsid w:val="00C40AA5"/>
    <w:rsid w:val="00C40EE6"/>
    <w:rsid w:val="00C41254"/>
    <w:rsid w:val="00C4246D"/>
    <w:rsid w:val="00C42803"/>
    <w:rsid w:val="00C4463F"/>
    <w:rsid w:val="00C44A0B"/>
    <w:rsid w:val="00C44D3F"/>
    <w:rsid w:val="00C44D9B"/>
    <w:rsid w:val="00C4535B"/>
    <w:rsid w:val="00C45C1F"/>
    <w:rsid w:val="00C461CB"/>
    <w:rsid w:val="00C46F70"/>
    <w:rsid w:val="00C47692"/>
    <w:rsid w:val="00C476D0"/>
    <w:rsid w:val="00C478A0"/>
    <w:rsid w:val="00C47F5D"/>
    <w:rsid w:val="00C504F5"/>
    <w:rsid w:val="00C50598"/>
    <w:rsid w:val="00C50967"/>
    <w:rsid w:val="00C53116"/>
    <w:rsid w:val="00C537AE"/>
    <w:rsid w:val="00C53E97"/>
    <w:rsid w:val="00C54528"/>
    <w:rsid w:val="00C54C2D"/>
    <w:rsid w:val="00C54C82"/>
    <w:rsid w:val="00C55484"/>
    <w:rsid w:val="00C554ED"/>
    <w:rsid w:val="00C555E9"/>
    <w:rsid w:val="00C562DD"/>
    <w:rsid w:val="00C574E1"/>
    <w:rsid w:val="00C608AE"/>
    <w:rsid w:val="00C60955"/>
    <w:rsid w:val="00C60F90"/>
    <w:rsid w:val="00C61519"/>
    <w:rsid w:val="00C61AC1"/>
    <w:rsid w:val="00C61CF2"/>
    <w:rsid w:val="00C61E1B"/>
    <w:rsid w:val="00C62486"/>
    <w:rsid w:val="00C62D13"/>
    <w:rsid w:val="00C631C4"/>
    <w:rsid w:val="00C6333C"/>
    <w:rsid w:val="00C645D3"/>
    <w:rsid w:val="00C6598D"/>
    <w:rsid w:val="00C661DC"/>
    <w:rsid w:val="00C664BB"/>
    <w:rsid w:val="00C665A9"/>
    <w:rsid w:val="00C7025A"/>
    <w:rsid w:val="00C70263"/>
    <w:rsid w:val="00C7069F"/>
    <w:rsid w:val="00C7174C"/>
    <w:rsid w:val="00C71F09"/>
    <w:rsid w:val="00C72FA2"/>
    <w:rsid w:val="00C735BF"/>
    <w:rsid w:val="00C7538C"/>
    <w:rsid w:val="00C76020"/>
    <w:rsid w:val="00C768B3"/>
    <w:rsid w:val="00C76A15"/>
    <w:rsid w:val="00C81383"/>
    <w:rsid w:val="00C81828"/>
    <w:rsid w:val="00C8294C"/>
    <w:rsid w:val="00C82BE4"/>
    <w:rsid w:val="00C82F3D"/>
    <w:rsid w:val="00C83054"/>
    <w:rsid w:val="00C832C7"/>
    <w:rsid w:val="00C83423"/>
    <w:rsid w:val="00C836E3"/>
    <w:rsid w:val="00C83946"/>
    <w:rsid w:val="00C8399B"/>
    <w:rsid w:val="00C83D1F"/>
    <w:rsid w:val="00C83E21"/>
    <w:rsid w:val="00C84650"/>
    <w:rsid w:val="00C857AD"/>
    <w:rsid w:val="00C85850"/>
    <w:rsid w:val="00C86577"/>
    <w:rsid w:val="00C8689C"/>
    <w:rsid w:val="00C86916"/>
    <w:rsid w:val="00C8699C"/>
    <w:rsid w:val="00C86B7A"/>
    <w:rsid w:val="00C86EF6"/>
    <w:rsid w:val="00C8756C"/>
    <w:rsid w:val="00C87E8A"/>
    <w:rsid w:val="00C87F67"/>
    <w:rsid w:val="00C90352"/>
    <w:rsid w:val="00C904E2"/>
    <w:rsid w:val="00C90F85"/>
    <w:rsid w:val="00C92E07"/>
    <w:rsid w:val="00C92EF1"/>
    <w:rsid w:val="00C931D3"/>
    <w:rsid w:val="00C94442"/>
    <w:rsid w:val="00C94BC8"/>
    <w:rsid w:val="00C96358"/>
    <w:rsid w:val="00C96868"/>
    <w:rsid w:val="00C976CE"/>
    <w:rsid w:val="00CA014A"/>
    <w:rsid w:val="00CA0416"/>
    <w:rsid w:val="00CA067E"/>
    <w:rsid w:val="00CA12DE"/>
    <w:rsid w:val="00CA23F6"/>
    <w:rsid w:val="00CA2482"/>
    <w:rsid w:val="00CA391C"/>
    <w:rsid w:val="00CA48FC"/>
    <w:rsid w:val="00CA49B2"/>
    <w:rsid w:val="00CA4E32"/>
    <w:rsid w:val="00CA4EAC"/>
    <w:rsid w:val="00CA641D"/>
    <w:rsid w:val="00CA73F2"/>
    <w:rsid w:val="00CA773C"/>
    <w:rsid w:val="00CA798B"/>
    <w:rsid w:val="00CB0110"/>
    <w:rsid w:val="00CB0C38"/>
    <w:rsid w:val="00CB2C9F"/>
    <w:rsid w:val="00CB38F4"/>
    <w:rsid w:val="00CB52F8"/>
    <w:rsid w:val="00CB6865"/>
    <w:rsid w:val="00CB6D5A"/>
    <w:rsid w:val="00CB7539"/>
    <w:rsid w:val="00CB7897"/>
    <w:rsid w:val="00CC06AD"/>
    <w:rsid w:val="00CC06E8"/>
    <w:rsid w:val="00CC112D"/>
    <w:rsid w:val="00CC25C8"/>
    <w:rsid w:val="00CC25D2"/>
    <w:rsid w:val="00CC2EB8"/>
    <w:rsid w:val="00CC4F9E"/>
    <w:rsid w:val="00CC55D2"/>
    <w:rsid w:val="00CC560B"/>
    <w:rsid w:val="00CC5A0C"/>
    <w:rsid w:val="00CC6DAB"/>
    <w:rsid w:val="00CC6FDC"/>
    <w:rsid w:val="00CC75E2"/>
    <w:rsid w:val="00CC7B7F"/>
    <w:rsid w:val="00CC7C79"/>
    <w:rsid w:val="00CC7FE6"/>
    <w:rsid w:val="00CD0350"/>
    <w:rsid w:val="00CD03A4"/>
    <w:rsid w:val="00CD0ABA"/>
    <w:rsid w:val="00CD147E"/>
    <w:rsid w:val="00CD16FA"/>
    <w:rsid w:val="00CD1B05"/>
    <w:rsid w:val="00CD1E39"/>
    <w:rsid w:val="00CD32F3"/>
    <w:rsid w:val="00CD343A"/>
    <w:rsid w:val="00CD3945"/>
    <w:rsid w:val="00CD3B18"/>
    <w:rsid w:val="00CD3DBA"/>
    <w:rsid w:val="00CD4435"/>
    <w:rsid w:val="00CD46EB"/>
    <w:rsid w:val="00CD581C"/>
    <w:rsid w:val="00CD6127"/>
    <w:rsid w:val="00CD64D1"/>
    <w:rsid w:val="00CD6E3B"/>
    <w:rsid w:val="00CD7EBF"/>
    <w:rsid w:val="00CE1FE8"/>
    <w:rsid w:val="00CE30B5"/>
    <w:rsid w:val="00CE3DD6"/>
    <w:rsid w:val="00CE6444"/>
    <w:rsid w:val="00CE7447"/>
    <w:rsid w:val="00CF0D9A"/>
    <w:rsid w:val="00CF1275"/>
    <w:rsid w:val="00CF160C"/>
    <w:rsid w:val="00CF2583"/>
    <w:rsid w:val="00CF25EA"/>
    <w:rsid w:val="00CF49F3"/>
    <w:rsid w:val="00CF4FB6"/>
    <w:rsid w:val="00CF5E67"/>
    <w:rsid w:val="00CF7473"/>
    <w:rsid w:val="00D0085A"/>
    <w:rsid w:val="00D013F3"/>
    <w:rsid w:val="00D0164D"/>
    <w:rsid w:val="00D01665"/>
    <w:rsid w:val="00D017CF"/>
    <w:rsid w:val="00D01E9D"/>
    <w:rsid w:val="00D03556"/>
    <w:rsid w:val="00D040E8"/>
    <w:rsid w:val="00D04CD7"/>
    <w:rsid w:val="00D05323"/>
    <w:rsid w:val="00D054F9"/>
    <w:rsid w:val="00D056F1"/>
    <w:rsid w:val="00D06A1D"/>
    <w:rsid w:val="00D0718B"/>
    <w:rsid w:val="00D07F28"/>
    <w:rsid w:val="00D100D3"/>
    <w:rsid w:val="00D10D8A"/>
    <w:rsid w:val="00D11171"/>
    <w:rsid w:val="00D111E2"/>
    <w:rsid w:val="00D12ED2"/>
    <w:rsid w:val="00D13F80"/>
    <w:rsid w:val="00D14426"/>
    <w:rsid w:val="00D14DBD"/>
    <w:rsid w:val="00D15866"/>
    <w:rsid w:val="00D15F72"/>
    <w:rsid w:val="00D164B5"/>
    <w:rsid w:val="00D1651E"/>
    <w:rsid w:val="00D1725C"/>
    <w:rsid w:val="00D20FA2"/>
    <w:rsid w:val="00D21BDF"/>
    <w:rsid w:val="00D2214B"/>
    <w:rsid w:val="00D22875"/>
    <w:rsid w:val="00D22F3C"/>
    <w:rsid w:val="00D23A94"/>
    <w:rsid w:val="00D23DB6"/>
    <w:rsid w:val="00D24ADE"/>
    <w:rsid w:val="00D25163"/>
    <w:rsid w:val="00D25BED"/>
    <w:rsid w:val="00D25CF8"/>
    <w:rsid w:val="00D263C1"/>
    <w:rsid w:val="00D27468"/>
    <w:rsid w:val="00D278FB"/>
    <w:rsid w:val="00D3016E"/>
    <w:rsid w:val="00D30242"/>
    <w:rsid w:val="00D30A65"/>
    <w:rsid w:val="00D32B97"/>
    <w:rsid w:val="00D33A99"/>
    <w:rsid w:val="00D33B7A"/>
    <w:rsid w:val="00D344D0"/>
    <w:rsid w:val="00D344F4"/>
    <w:rsid w:val="00D34902"/>
    <w:rsid w:val="00D369FF"/>
    <w:rsid w:val="00D36C14"/>
    <w:rsid w:val="00D36DF6"/>
    <w:rsid w:val="00D40103"/>
    <w:rsid w:val="00D418CD"/>
    <w:rsid w:val="00D41BDE"/>
    <w:rsid w:val="00D41F9D"/>
    <w:rsid w:val="00D420F6"/>
    <w:rsid w:val="00D43803"/>
    <w:rsid w:val="00D43C5A"/>
    <w:rsid w:val="00D43FE6"/>
    <w:rsid w:val="00D442A7"/>
    <w:rsid w:val="00D445FF"/>
    <w:rsid w:val="00D447A2"/>
    <w:rsid w:val="00D44A43"/>
    <w:rsid w:val="00D44F35"/>
    <w:rsid w:val="00D45649"/>
    <w:rsid w:val="00D45B4A"/>
    <w:rsid w:val="00D47B7F"/>
    <w:rsid w:val="00D47F2D"/>
    <w:rsid w:val="00D50F10"/>
    <w:rsid w:val="00D51A95"/>
    <w:rsid w:val="00D53474"/>
    <w:rsid w:val="00D534E5"/>
    <w:rsid w:val="00D53DEC"/>
    <w:rsid w:val="00D556CF"/>
    <w:rsid w:val="00D55813"/>
    <w:rsid w:val="00D56548"/>
    <w:rsid w:val="00D56C77"/>
    <w:rsid w:val="00D571AC"/>
    <w:rsid w:val="00D60568"/>
    <w:rsid w:val="00D61113"/>
    <w:rsid w:val="00D643F4"/>
    <w:rsid w:val="00D65CCF"/>
    <w:rsid w:val="00D65E88"/>
    <w:rsid w:val="00D663EE"/>
    <w:rsid w:val="00D6681C"/>
    <w:rsid w:val="00D70A5A"/>
    <w:rsid w:val="00D70C7A"/>
    <w:rsid w:val="00D72535"/>
    <w:rsid w:val="00D72575"/>
    <w:rsid w:val="00D725C0"/>
    <w:rsid w:val="00D74249"/>
    <w:rsid w:val="00D75C35"/>
    <w:rsid w:val="00D768A0"/>
    <w:rsid w:val="00D801C4"/>
    <w:rsid w:val="00D802FD"/>
    <w:rsid w:val="00D806EF"/>
    <w:rsid w:val="00D80769"/>
    <w:rsid w:val="00D819F4"/>
    <w:rsid w:val="00D81D38"/>
    <w:rsid w:val="00D82712"/>
    <w:rsid w:val="00D82D14"/>
    <w:rsid w:val="00D86388"/>
    <w:rsid w:val="00D8744C"/>
    <w:rsid w:val="00D878F2"/>
    <w:rsid w:val="00D9022D"/>
    <w:rsid w:val="00D906E5"/>
    <w:rsid w:val="00D908CB"/>
    <w:rsid w:val="00D916F0"/>
    <w:rsid w:val="00D91D52"/>
    <w:rsid w:val="00D9262A"/>
    <w:rsid w:val="00D9297D"/>
    <w:rsid w:val="00D939D0"/>
    <w:rsid w:val="00D93D89"/>
    <w:rsid w:val="00D93F64"/>
    <w:rsid w:val="00D93F66"/>
    <w:rsid w:val="00D95856"/>
    <w:rsid w:val="00D958DF"/>
    <w:rsid w:val="00D9620E"/>
    <w:rsid w:val="00D97DBA"/>
    <w:rsid w:val="00DA0022"/>
    <w:rsid w:val="00DA029B"/>
    <w:rsid w:val="00DA06D1"/>
    <w:rsid w:val="00DA10A8"/>
    <w:rsid w:val="00DA1CF4"/>
    <w:rsid w:val="00DA2264"/>
    <w:rsid w:val="00DA2266"/>
    <w:rsid w:val="00DA24EA"/>
    <w:rsid w:val="00DA29E3"/>
    <w:rsid w:val="00DA39B0"/>
    <w:rsid w:val="00DA41D8"/>
    <w:rsid w:val="00DA4B63"/>
    <w:rsid w:val="00DA57E2"/>
    <w:rsid w:val="00DA5F89"/>
    <w:rsid w:val="00DA6382"/>
    <w:rsid w:val="00DA6C41"/>
    <w:rsid w:val="00DB0F7D"/>
    <w:rsid w:val="00DB1650"/>
    <w:rsid w:val="00DB1693"/>
    <w:rsid w:val="00DB17C1"/>
    <w:rsid w:val="00DB1E08"/>
    <w:rsid w:val="00DB2973"/>
    <w:rsid w:val="00DB4014"/>
    <w:rsid w:val="00DB4353"/>
    <w:rsid w:val="00DB59C5"/>
    <w:rsid w:val="00DB61EF"/>
    <w:rsid w:val="00DB668D"/>
    <w:rsid w:val="00DB6FD1"/>
    <w:rsid w:val="00DB7D3E"/>
    <w:rsid w:val="00DC0513"/>
    <w:rsid w:val="00DC0F62"/>
    <w:rsid w:val="00DC1454"/>
    <w:rsid w:val="00DC18B5"/>
    <w:rsid w:val="00DC1955"/>
    <w:rsid w:val="00DC1B56"/>
    <w:rsid w:val="00DC2045"/>
    <w:rsid w:val="00DC2129"/>
    <w:rsid w:val="00DC2747"/>
    <w:rsid w:val="00DC3F4E"/>
    <w:rsid w:val="00DC4079"/>
    <w:rsid w:val="00DC6570"/>
    <w:rsid w:val="00DC6742"/>
    <w:rsid w:val="00DC6846"/>
    <w:rsid w:val="00DC700A"/>
    <w:rsid w:val="00DC757C"/>
    <w:rsid w:val="00DC7F48"/>
    <w:rsid w:val="00DD0E15"/>
    <w:rsid w:val="00DD13C9"/>
    <w:rsid w:val="00DD150F"/>
    <w:rsid w:val="00DD2495"/>
    <w:rsid w:val="00DD2A06"/>
    <w:rsid w:val="00DD2FE4"/>
    <w:rsid w:val="00DD314B"/>
    <w:rsid w:val="00DD3C5E"/>
    <w:rsid w:val="00DD410C"/>
    <w:rsid w:val="00DD4199"/>
    <w:rsid w:val="00DD464D"/>
    <w:rsid w:val="00DD4AC2"/>
    <w:rsid w:val="00DD52F5"/>
    <w:rsid w:val="00DD5F9F"/>
    <w:rsid w:val="00DD62EE"/>
    <w:rsid w:val="00DD6CB0"/>
    <w:rsid w:val="00DD750C"/>
    <w:rsid w:val="00DE00AC"/>
    <w:rsid w:val="00DE273D"/>
    <w:rsid w:val="00DE2B19"/>
    <w:rsid w:val="00DE3D59"/>
    <w:rsid w:val="00DE6459"/>
    <w:rsid w:val="00DE6F39"/>
    <w:rsid w:val="00DE6FA3"/>
    <w:rsid w:val="00DE717A"/>
    <w:rsid w:val="00DE7610"/>
    <w:rsid w:val="00DF0765"/>
    <w:rsid w:val="00DF0A12"/>
    <w:rsid w:val="00DF0F46"/>
    <w:rsid w:val="00DF0F92"/>
    <w:rsid w:val="00DF1DF1"/>
    <w:rsid w:val="00DF25C3"/>
    <w:rsid w:val="00DF3A99"/>
    <w:rsid w:val="00DF4A45"/>
    <w:rsid w:val="00DF5914"/>
    <w:rsid w:val="00DF5BB0"/>
    <w:rsid w:val="00DF5EEA"/>
    <w:rsid w:val="00DF70BE"/>
    <w:rsid w:val="00DF74CB"/>
    <w:rsid w:val="00DF7624"/>
    <w:rsid w:val="00DF7BF8"/>
    <w:rsid w:val="00DF7F1B"/>
    <w:rsid w:val="00E00305"/>
    <w:rsid w:val="00E0082D"/>
    <w:rsid w:val="00E00E91"/>
    <w:rsid w:val="00E0285E"/>
    <w:rsid w:val="00E03070"/>
    <w:rsid w:val="00E03353"/>
    <w:rsid w:val="00E03741"/>
    <w:rsid w:val="00E03970"/>
    <w:rsid w:val="00E03E73"/>
    <w:rsid w:val="00E04062"/>
    <w:rsid w:val="00E041F6"/>
    <w:rsid w:val="00E047B0"/>
    <w:rsid w:val="00E04DFB"/>
    <w:rsid w:val="00E063C6"/>
    <w:rsid w:val="00E066BA"/>
    <w:rsid w:val="00E06C98"/>
    <w:rsid w:val="00E0744F"/>
    <w:rsid w:val="00E07DAB"/>
    <w:rsid w:val="00E10D8C"/>
    <w:rsid w:val="00E10DC2"/>
    <w:rsid w:val="00E10FA7"/>
    <w:rsid w:val="00E1124C"/>
    <w:rsid w:val="00E11984"/>
    <w:rsid w:val="00E11B75"/>
    <w:rsid w:val="00E11D66"/>
    <w:rsid w:val="00E12072"/>
    <w:rsid w:val="00E124D2"/>
    <w:rsid w:val="00E13116"/>
    <w:rsid w:val="00E133D0"/>
    <w:rsid w:val="00E138E7"/>
    <w:rsid w:val="00E139C2"/>
    <w:rsid w:val="00E14487"/>
    <w:rsid w:val="00E14775"/>
    <w:rsid w:val="00E15429"/>
    <w:rsid w:val="00E15539"/>
    <w:rsid w:val="00E15D23"/>
    <w:rsid w:val="00E15E55"/>
    <w:rsid w:val="00E16822"/>
    <w:rsid w:val="00E169FF"/>
    <w:rsid w:val="00E173B5"/>
    <w:rsid w:val="00E17EBA"/>
    <w:rsid w:val="00E2003B"/>
    <w:rsid w:val="00E2010E"/>
    <w:rsid w:val="00E20394"/>
    <w:rsid w:val="00E203C2"/>
    <w:rsid w:val="00E20902"/>
    <w:rsid w:val="00E21742"/>
    <w:rsid w:val="00E225E9"/>
    <w:rsid w:val="00E22D64"/>
    <w:rsid w:val="00E23995"/>
    <w:rsid w:val="00E24051"/>
    <w:rsid w:val="00E247AF"/>
    <w:rsid w:val="00E248DA"/>
    <w:rsid w:val="00E26BC0"/>
    <w:rsid w:val="00E279D8"/>
    <w:rsid w:val="00E3054A"/>
    <w:rsid w:val="00E30955"/>
    <w:rsid w:val="00E30E1E"/>
    <w:rsid w:val="00E3133D"/>
    <w:rsid w:val="00E31683"/>
    <w:rsid w:val="00E319A1"/>
    <w:rsid w:val="00E319B1"/>
    <w:rsid w:val="00E31A33"/>
    <w:rsid w:val="00E333A3"/>
    <w:rsid w:val="00E33973"/>
    <w:rsid w:val="00E343ED"/>
    <w:rsid w:val="00E344C3"/>
    <w:rsid w:val="00E34FC7"/>
    <w:rsid w:val="00E35EF1"/>
    <w:rsid w:val="00E36B24"/>
    <w:rsid w:val="00E36E3F"/>
    <w:rsid w:val="00E37CD7"/>
    <w:rsid w:val="00E37DD6"/>
    <w:rsid w:val="00E37DFB"/>
    <w:rsid w:val="00E405AF"/>
    <w:rsid w:val="00E40823"/>
    <w:rsid w:val="00E41BD8"/>
    <w:rsid w:val="00E41C85"/>
    <w:rsid w:val="00E43236"/>
    <w:rsid w:val="00E43A37"/>
    <w:rsid w:val="00E44B71"/>
    <w:rsid w:val="00E44C45"/>
    <w:rsid w:val="00E44E0D"/>
    <w:rsid w:val="00E44E90"/>
    <w:rsid w:val="00E4547B"/>
    <w:rsid w:val="00E465CD"/>
    <w:rsid w:val="00E5080C"/>
    <w:rsid w:val="00E50DA4"/>
    <w:rsid w:val="00E51336"/>
    <w:rsid w:val="00E51903"/>
    <w:rsid w:val="00E5203C"/>
    <w:rsid w:val="00E52871"/>
    <w:rsid w:val="00E52ACD"/>
    <w:rsid w:val="00E53CB4"/>
    <w:rsid w:val="00E5492F"/>
    <w:rsid w:val="00E557E0"/>
    <w:rsid w:val="00E5650A"/>
    <w:rsid w:val="00E609D5"/>
    <w:rsid w:val="00E60AED"/>
    <w:rsid w:val="00E612E2"/>
    <w:rsid w:val="00E619A1"/>
    <w:rsid w:val="00E62C87"/>
    <w:rsid w:val="00E62DEF"/>
    <w:rsid w:val="00E63AC6"/>
    <w:rsid w:val="00E64118"/>
    <w:rsid w:val="00E64162"/>
    <w:rsid w:val="00E645B5"/>
    <w:rsid w:val="00E647BB"/>
    <w:rsid w:val="00E666C9"/>
    <w:rsid w:val="00E67E51"/>
    <w:rsid w:val="00E708AA"/>
    <w:rsid w:val="00E70A86"/>
    <w:rsid w:val="00E71530"/>
    <w:rsid w:val="00E73210"/>
    <w:rsid w:val="00E73F65"/>
    <w:rsid w:val="00E74618"/>
    <w:rsid w:val="00E757E3"/>
    <w:rsid w:val="00E75988"/>
    <w:rsid w:val="00E759B8"/>
    <w:rsid w:val="00E768DF"/>
    <w:rsid w:val="00E769EA"/>
    <w:rsid w:val="00E76FB5"/>
    <w:rsid w:val="00E777EC"/>
    <w:rsid w:val="00E77D9D"/>
    <w:rsid w:val="00E77E19"/>
    <w:rsid w:val="00E8019C"/>
    <w:rsid w:val="00E80FCD"/>
    <w:rsid w:val="00E829DB"/>
    <w:rsid w:val="00E83649"/>
    <w:rsid w:val="00E849E9"/>
    <w:rsid w:val="00E84C44"/>
    <w:rsid w:val="00E852F3"/>
    <w:rsid w:val="00E85372"/>
    <w:rsid w:val="00E85670"/>
    <w:rsid w:val="00E870DC"/>
    <w:rsid w:val="00E90336"/>
    <w:rsid w:val="00E95355"/>
    <w:rsid w:val="00E95E7C"/>
    <w:rsid w:val="00E9708D"/>
    <w:rsid w:val="00E976AF"/>
    <w:rsid w:val="00EA1CBC"/>
    <w:rsid w:val="00EA20D1"/>
    <w:rsid w:val="00EA2773"/>
    <w:rsid w:val="00EA288E"/>
    <w:rsid w:val="00EA32C7"/>
    <w:rsid w:val="00EA452C"/>
    <w:rsid w:val="00EA4830"/>
    <w:rsid w:val="00EA594C"/>
    <w:rsid w:val="00EA5C2A"/>
    <w:rsid w:val="00EA6EB0"/>
    <w:rsid w:val="00EA71C0"/>
    <w:rsid w:val="00EA76A1"/>
    <w:rsid w:val="00EA7F2F"/>
    <w:rsid w:val="00EB0B40"/>
    <w:rsid w:val="00EB0F88"/>
    <w:rsid w:val="00EB14A0"/>
    <w:rsid w:val="00EB17C5"/>
    <w:rsid w:val="00EB1BAF"/>
    <w:rsid w:val="00EB2A8B"/>
    <w:rsid w:val="00EB30C0"/>
    <w:rsid w:val="00EB33DE"/>
    <w:rsid w:val="00EB390A"/>
    <w:rsid w:val="00EB4D33"/>
    <w:rsid w:val="00EB5EB4"/>
    <w:rsid w:val="00EB614B"/>
    <w:rsid w:val="00EB77AC"/>
    <w:rsid w:val="00EC00DE"/>
    <w:rsid w:val="00EC017A"/>
    <w:rsid w:val="00EC0338"/>
    <w:rsid w:val="00EC0B24"/>
    <w:rsid w:val="00EC0B8B"/>
    <w:rsid w:val="00EC0EE9"/>
    <w:rsid w:val="00EC145C"/>
    <w:rsid w:val="00EC2A6B"/>
    <w:rsid w:val="00EC2DD3"/>
    <w:rsid w:val="00EC30E1"/>
    <w:rsid w:val="00EC3530"/>
    <w:rsid w:val="00EC3C8A"/>
    <w:rsid w:val="00EC3FCA"/>
    <w:rsid w:val="00EC5C77"/>
    <w:rsid w:val="00EC6696"/>
    <w:rsid w:val="00EC6A79"/>
    <w:rsid w:val="00EC6DEB"/>
    <w:rsid w:val="00EC728E"/>
    <w:rsid w:val="00EC7777"/>
    <w:rsid w:val="00ED172A"/>
    <w:rsid w:val="00ED1C9E"/>
    <w:rsid w:val="00ED2AAC"/>
    <w:rsid w:val="00ED2CAB"/>
    <w:rsid w:val="00ED2EAD"/>
    <w:rsid w:val="00ED2EBB"/>
    <w:rsid w:val="00ED4141"/>
    <w:rsid w:val="00ED4A2E"/>
    <w:rsid w:val="00ED5531"/>
    <w:rsid w:val="00ED5D3C"/>
    <w:rsid w:val="00ED6A19"/>
    <w:rsid w:val="00ED6A50"/>
    <w:rsid w:val="00ED7208"/>
    <w:rsid w:val="00ED747E"/>
    <w:rsid w:val="00ED7ED0"/>
    <w:rsid w:val="00EE1294"/>
    <w:rsid w:val="00EE2A9D"/>
    <w:rsid w:val="00EE31C5"/>
    <w:rsid w:val="00EE3905"/>
    <w:rsid w:val="00EE4690"/>
    <w:rsid w:val="00EE4A3B"/>
    <w:rsid w:val="00EE550A"/>
    <w:rsid w:val="00EE56BE"/>
    <w:rsid w:val="00EE5ABF"/>
    <w:rsid w:val="00EE6B64"/>
    <w:rsid w:val="00EE6D4C"/>
    <w:rsid w:val="00EE761A"/>
    <w:rsid w:val="00EE7F93"/>
    <w:rsid w:val="00EF067B"/>
    <w:rsid w:val="00EF0A9B"/>
    <w:rsid w:val="00EF123D"/>
    <w:rsid w:val="00EF17EC"/>
    <w:rsid w:val="00EF202F"/>
    <w:rsid w:val="00EF2EEA"/>
    <w:rsid w:val="00EF3280"/>
    <w:rsid w:val="00EF355E"/>
    <w:rsid w:val="00EF3634"/>
    <w:rsid w:val="00EF45CE"/>
    <w:rsid w:val="00EF4B0E"/>
    <w:rsid w:val="00EF4B9F"/>
    <w:rsid w:val="00EF5010"/>
    <w:rsid w:val="00EF591F"/>
    <w:rsid w:val="00EF5D50"/>
    <w:rsid w:val="00EF6106"/>
    <w:rsid w:val="00EF6D1B"/>
    <w:rsid w:val="00EF7DD1"/>
    <w:rsid w:val="00F00B8B"/>
    <w:rsid w:val="00F00EF7"/>
    <w:rsid w:val="00F01B19"/>
    <w:rsid w:val="00F0210A"/>
    <w:rsid w:val="00F02159"/>
    <w:rsid w:val="00F0230E"/>
    <w:rsid w:val="00F02389"/>
    <w:rsid w:val="00F03787"/>
    <w:rsid w:val="00F04F9F"/>
    <w:rsid w:val="00F05681"/>
    <w:rsid w:val="00F05D50"/>
    <w:rsid w:val="00F05DA9"/>
    <w:rsid w:val="00F05F98"/>
    <w:rsid w:val="00F062A6"/>
    <w:rsid w:val="00F07B0E"/>
    <w:rsid w:val="00F10144"/>
    <w:rsid w:val="00F105E2"/>
    <w:rsid w:val="00F10756"/>
    <w:rsid w:val="00F11116"/>
    <w:rsid w:val="00F11526"/>
    <w:rsid w:val="00F11544"/>
    <w:rsid w:val="00F115C3"/>
    <w:rsid w:val="00F1161D"/>
    <w:rsid w:val="00F11DE1"/>
    <w:rsid w:val="00F11F6C"/>
    <w:rsid w:val="00F11FFA"/>
    <w:rsid w:val="00F121C9"/>
    <w:rsid w:val="00F13536"/>
    <w:rsid w:val="00F13973"/>
    <w:rsid w:val="00F139BF"/>
    <w:rsid w:val="00F145E4"/>
    <w:rsid w:val="00F14BEC"/>
    <w:rsid w:val="00F15499"/>
    <w:rsid w:val="00F15741"/>
    <w:rsid w:val="00F15AFB"/>
    <w:rsid w:val="00F16A80"/>
    <w:rsid w:val="00F172A3"/>
    <w:rsid w:val="00F2125B"/>
    <w:rsid w:val="00F21FC2"/>
    <w:rsid w:val="00F22053"/>
    <w:rsid w:val="00F22591"/>
    <w:rsid w:val="00F225C5"/>
    <w:rsid w:val="00F228F1"/>
    <w:rsid w:val="00F25209"/>
    <w:rsid w:val="00F2587A"/>
    <w:rsid w:val="00F25B07"/>
    <w:rsid w:val="00F2766D"/>
    <w:rsid w:val="00F27A38"/>
    <w:rsid w:val="00F27B14"/>
    <w:rsid w:val="00F27B38"/>
    <w:rsid w:val="00F30AE7"/>
    <w:rsid w:val="00F30C07"/>
    <w:rsid w:val="00F3125E"/>
    <w:rsid w:val="00F31579"/>
    <w:rsid w:val="00F31601"/>
    <w:rsid w:val="00F3176D"/>
    <w:rsid w:val="00F324A8"/>
    <w:rsid w:val="00F32968"/>
    <w:rsid w:val="00F32D04"/>
    <w:rsid w:val="00F333EB"/>
    <w:rsid w:val="00F345A8"/>
    <w:rsid w:val="00F345BF"/>
    <w:rsid w:val="00F3564F"/>
    <w:rsid w:val="00F35F86"/>
    <w:rsid w:val="00F360DF"/>
    <w:rsid w:val="00F36BED"/>
    <w:rsid w:val="00F36D11"/>
    <w:rsid w:val="00F36DD4"/>
    <w:rsid w:val="00F3715D"/>
    <w:rsid w:val="00F4104B"/>
    <w:rsid w:val="00F41EA9"/>
    <w:rsid w:val="00F42073"/>
    <w:rsid w:val="00F420C8"/>
    <w:rsid w:val="00F42A4C"/>
    <w:rsid w:val="00F434D5"/>
    <w:rsid w:val="00F4390A"/>
    <w:rsid w:val="00F444FD"/>
    <w:rsid w:val="00F452F7"/>
    <w:rsid w:val="00F46E99"/>
    <w:rsid w:val="00F4726F"/>
    <w:rsid w:val="00F4773A"/>
    <w:rsid w:val="00F477D6"/>
    <w:rsid w:val="00F47E0C"/>
    <w:rsid w:val="00F506F4"/>
    <w:rsid w:val="00F50DFE"/>
    <w:rsid w:val="00F517BB"/>
    <w:rsid w:val="00F51883"/>
    <w:rsid w:val="00F51A7A"/>
    <w:rsid w:val="00F5338F"/>
    <w:rsid w:val="00F535EE"/>
    <w:rsid w:val="00F538D6"/>
    <w:rsid w:val="00F53FB4"/>
    <w:rsid w:val="00F54181"/>
    <w:rsid w:val="00F54606"/>
    <w:rsid w:val="00F547F6"/>
    <w:rsid w:val="00F54E61"/>
    <w:rsid w:val="00F55462"/>
    <w:rsid w:val="00F55861"/>
    <w:rsid w:val="00F559F9"/>
    <w:rsid w:val="00F6026D"/>
    <w:rsid w:val="00F604DE"/>
    <w:rsid w:val="00F60F41"/>
    <w:rsid w:val="00F61BC0"/>
    <w:rsid w:val="00F63347"/>
    <w:rsid w:val="00F63778"/>
    <w:rsid w:val="00F63C90"/>
    <w:rsid w:val="00F648E2"/>
    <w:rsid w:val="00F65FC4"/>
    <w:rsid w:val="00F66ADB"/>
    <w:rsid w:val="00F66CF3"/>
    <w:rsid w:val="00F70B5B"/>
    <w:rsid w:val="00F71791"/>
    <w:rsid w:val="00F72ED9"/>
    <w:rsid w:val="00F73110"/>
    <w:rsid w:val="00F733A8"/>
    <w:rsid w:val="00F73D24"/>
    <w:rsid w:val="00F74A77"/>
    <w:rsid w:val="00F74D02"/>
    <w:rsid w:val="00F74FCF"/>
    <w:rsid w:val="00F7585C"/>
    <w:rsid w:val="00F760E8"/>
    <w:rsid w:val="00F76A19"/>
    <w:rsid w:val="00F81F70"/>
    <w:rsid w:val="00F82624"/>
    <w:rsid w:val="00F82780"/>
    <w:rsid w:val="00F83178"/>
    <w:rsid w:val="00F85661"/>
    <w:rsid w:val="00F85941"/>
    <w:rsid w:val="00F86224"/>
    <w:rsid w:val="00F869AC"/>
    <w:rsid w:val="00F87382"/>
    <w:rsid w:val="00F8748E"/>
    <w:rsid w:val="00F875B6"/>
    <w:rsid w:val="00F87B55"/>
    <w:rsid w:val="00F90172"/>
    <w:rsid w:val="00F909D1"/>
    <w:rsid w:val="00F90AE9"/>
    <w:rsid w:val="00F90F47"/>
    <w:rsid w:val="00F915D6"/>
    <w:rsid w:val="00F91BF2"/>
    <w:rsid w:val="00F91F5A"/>
    <w:rsid w:val="00F9343B"/>
    <w:rsid w:val="00F934E9"/>
    <w:rsid w:val="00F93FE1"/>
    <w:rsid w:val="00F94F81"/>
    <w:rsid w:val="00F95903"/>
    <w:rsid w:val="00F961FB"/>
    <w:rsid w:val="00F971BD"/>
    <w:rsid w:val="00F97C8E"/>
    <w:rsid w:val="00FA01B2"/>
    <w:rsid w:val="00FA0387"/>
    <w:rsid w:val="00FA0ACB"/>
    <w:rsid w:val="00FA112D"/>
    <w:rsid w:val="00FA1D5F"/>
    <w:rsid w:val="00FA2911"/>
    <w:rsid w:val="00FA35B8"/>
    <w:rsid w:val="00FA3F23"/>
    <w:rsid w:val="00FA40BF"/>
    <w:rsid w:val="00FA40DF"/>
    <w:rsid w:val="00FA492E"/>
    <w:rsid w:val="00FB0AC4"/>
    <w:rsid w:val="00FB0B70"/>
    <w:rsid w:val="00FB0D87"/>
    <w:rsid w:val="00FB0FFE"/>
    <w:rsid w:val="00FB1067"/>
    <w:rsid w:val="00FB10C2"/>
    <w:rsid w:val="00FB1956"/>
    <w:rsid w:val="00FB279B"/>
    <w:rsid w:val="00FB327C"/>
    <w:rsid w:val="00FB3946"/>
    <w:rsid w:val="00FB5C13"/>
    <w:rsid w:val="00FB68F6"/>
    <w:rsid w:val="00FB6D93"/>
    <w:rsid w:val="00FB72EF"/>
    <w:rsid w:val="00FB7512"/>
    <w:rsid w:val="00FC20E4"/>
    <w:rsid w:val="00FC210A"/>
    <w:rsid w:val="00FC22D1"/>
    <w:rsid w:val="00FC2396"/>
    <w:rsid w:val="00FC3086"/>
    <w:rsid w:val="00FC3687"/>
    <w:rsid w:val="00FC38E1"/>
    <w:rsid w:val="00FC38FD"/>
    <w:rsid w:val="00FC4410"/>
    <w:rsid w:val="00FC6801"/>
    <w:rsid w:val="00FC690D"/>
    <w:rsid w:val="00FD05C4"/>
    <w:rsid w:val="00FD0AAC"/>
    <w:rsid w:val="00FD11D2"/>
    <w:rsid w:val="00FD20E0"/>
    <w:rsid w:val="00FD34FD"/>
    <w:rsid w:val="00FD4050"/>
    <w:rsid w:val="00FD4368"/>
    <w:rsid w:val="00FD4702"/>
    <w:rsid w:val="00FD68D3"/>
    <w:rsid w:val="00FD6A04"/>
    <w:rsid w:val="00FD7547"/>
    <w:rsid w:val="00FE0145"/>
    <w:rsid w:val="00FE1228"/>
    <w:rsid w:val="00FE1634"/>
    <w:rsid w:val="00FE17D0"/>
    <w:rsid w:val="00FE1908"/>
    <w:rsid w:val="00FE2DE4"/>
    <w:rsid w:val="00FE3B6E"/>
    <w:rsid w:val="00FE3C5F"/>
    <w:rsid w:val="00FE4328"/>
    <w:rsid w:val="00FE4A9C"/>
    <w:rsid w:val="00FE57C1"/>
    <w:rsid w:val="00FE680F"/>
    <w:rsid w:val="00FE694E"/>
    <w:rsid w:val="00FE71AD"/>
    <w:rsid w:val="00FE7C06"/>
    <w:rsid w:val="00FE7D4C"/>
    <w:rsid w:val="00FF2C34"/>
    <w:rsid w:val="00FF3A6A"/>
    <w:rsid w:val="00FF4878"/>
    <w:rsid w:val="00FF4A7F"/>
    <w:rsid w:val="00FF4E65"/>
    <w:rsid w:val="00FF5765"/>
    <w:rsid w:val="00FF5C83"/>
    <w:rsid w:val="00FF5F5C"/>
    <w:rsid w:val="00FF71A7"/>
    <w:rsid w:val="00FF721F"/>
    <w:rsid w:val="00FF75A7"/>
    <w:rsid w:val="00FF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452E9F72"/>
  <w15:docId w15:val="{E0406CE6-E8B7-4805-8D34-6D1E6AF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73104D"/>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73104D"/>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F0E2A"/>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0A47FC"/>
    <w:pPr>
      <w:ind w:left="720"/>
      <w:contextualSpacing/>
    </w:pPr>
  </w:style>
  <w:style w:type="paragraph" w:styleId="CommentSubject">
    <w:name w:val="annotation subject"/>
    <w:basedOn w:val="CommentText"/>
    <w:next w:val="CommentText"/>
    <w:link w:val="CommentSubjectChar"/>
    <w:semiHidden/>
    <w:unhideWhenUsed/>
    <w:rsid w:val="007C5000"/>
    <w:rPr>
      <w:b/>
      <w:bCs/>
    </w:rPr>
  </w:style>
  <w:style w:type="character" w:customStyle="1" w:styleId="CommentSubjectChar">
    <w:name w:val="Comment Subject Char"/>
    <w:basedOn w:val="CommentTextChar"/>
    <w:link w:val="CommentSubject"/>
    <w:semiHidden/>
    <w:rsid w:val="007C5000"/>
    <w:rPr>
      <w:rFonts w:ascii="Arial" w:hAnsi="Arial"/>
      <w:b/>
      <w:bCs/>
      <w:lang w:eastAsia="en-US" w:bidi="en-US"/>
    </w:rPr>
  </w:style>
  <w:style w:type="character" w:customStyle="1" w:styleId="html-italic3">
    <w:name w:val="html-italic3"/>
    <w:basedOn w:val="DefaultParagraphFont"/>
    <w:rsid w:val="00C8756C"/>
    <w:rPr>
      <w:i/>
      <w:iCs/>
    </w:rPr>
  </w:style>
  <w:style w:type="character" w:customStyle="1" w:styleId="element-citation">
    <w:name w:val="element-citation"/>
    <w:basedOn w:val="DefaultParagraphFont"/>
    <w:rsid w:val="0084547B"/>
  </w:style>
  <w:style w:type="character" w:customStyle="1" w:styleId="ref-journal">
    <w:name w:val="ref-journal"/>
    <w:basedOn w:val="DefaultParagraphFont"/>
    <w:rsid w:val="0084547B"/>
  </w:style>
  <w:style w:type="character" w:customStyle="1" w:styleId="ref-vol">
    <w:name w:val="ref-vol"/>
    <w:basedOn w:val="DefaultParagraphFont"/>
    <w:rsid w:val="0084547B"/>
  </w:style>
  <w:style w:type="character" w:customStyle="1" w:styleId="nowrap">
    <w:name w:val="nowrap"/>
    <w:basedOn w:val="DefaultParagraphFont"/>
    <w:rsid w:val="0084547B"/>
  </w:style>
  <w:style w:type="character" w:customStyle="1" w:styleId="cit">
    <w:name w:val="cit"/>
    <w:basedOn w:val="DefaultParagraphFont"/>
    <w:rsid w:val="00FF721F"/>
  </w:style>
  <w:style w:type="character" w:customStyle="1" w:styleId="doi2">
    <w:name w:val="doi2"/>
    <w:basedOn w:val="DefaultParagraphFont"/>
    <w:rsid w:val="00FF721F"/>
  </w:style>
  <w:style w:type="character" w:customStyle="1" w:styleId="fm-citation-ids-label">
    <w:name w:val="fm-citation-ids-label"/>
    <w:basedOn w:val="DefaultParagraphFont"/>
    <w:rsid w:val="00FF721F"/>
  </w:style>
  <w:style w:type="character" w:styleId="PlaceholderText">
    <w:name w:val="Placeholder Text"/>
    <w:basedOn w:val="DefaultParagraphFont"/>
    <w:uiPriority w:val="99"/>
    <w:semiHidden/>
    <w:rsid w:val="0074616C"/>
    <w:rPr>
      <w:color w:val="808080"/>
    </w:rPr>
  </w:style>
  <w:style w:type="character" w:styleId="Emphasis">
    <w:name w:val="Emphasis"/>
    <w:basedOn w:val="DefaultParagraphFont"/>
    <w:uiPriority w:val="20"/>
    <w:qFormat/>
    <w:rsid w:val="000E1A04"/>
    <w:rPr>
      <w:i/>
      <w:iCs/>
    </w:rPr>
  </w:style>
  <w:style w:type="paragraph" w:customStyle="1" w:styleId="Default">
    <w:name w:val="Default"/>
    <w:rsid w:val="009F1525"/>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A67133"/>
    <w:rPr>
      <w:rFonts w:ascii="Arial" w:hAnsi="Arial"/>
      <w:sz w:val="22"/>
      <w:szCs w:val="24"/>
      <w:lang w:eastAsia="en-US" w:bidi="en-US"/>
    </w:rPr>
  </w:style>
  <w:style w:type="paragraph" w:customStyle="1" w:styleId="chapter-para">
    <w:name w:val="chapter-para"/>
    <w:basedOn w:val="Normal"/>
    <w:rsid w:val="00F1161D"/>
    <w:pPr>
      <w:widowControl/>
      <w:spacing w:before="100" w:beforeAutospacing="1" w:after="100" w:afterAutospacing="1"/>
    </w:pPr>
    <w:rPr>
      <w:rFonts w:ascii="Times New Roman" w:hAnsi="Times New Roman"/>
      <w:sz w:val="24"/>
      <w:lang w:eastAsia="en-GB" w:bidi="ar-SA"/>
    </w:rPr>
  </w:style>
  <w:style w:type="paragraph" w:styleId="NormalWeb">
    <w:name w:val="Normal (Web)"/>
    <w:basedOn w:val="Normal"/>
    <w:uiPriority w:val="99"/>
    <w:unhideWhenUsed/>
    <w:rsid w:val="00ED5D3C"/>
    <w:pPr>
      <w:widowControl/>
      <w:spacing w:after="150"/>
    </w:pPr>
    <w:rPr>
      <w:rFonts w:ascii="Times New Roman" w:hAnsi="Times New Roman"/>
      <w:sz w:val="24"/>
      <w:lang w:eastAsia="en-GB" w:bidi="ar-SA"/>
    </w:rPr>
  </w:style>
  <w:style w:type="paragraph" w:customStyle="1" w:styleId="CitaviBibliography">
    <w:name w:val="Citavi Bibliography"/>
    <w:basedOn w:val="Normal"/>
    <w:rsid w:val="00C8689C"/>
    <w:pPr>
      <w:widowControl/>
      <w:ind w:left="397" w:hanging="397"/>
    </w:pPr>
    <w:rPr>
      <w:rFonts w:ascii="Segoe UI" w:eastAsia="Segoe UI" w:hAnsi="Segoe UI" w:cs="Segoe UI"/>
      <w:sz w:val="18"/>
      <w:szCs w:val="18"/>
      <w:lang w:eastAsia="en-GB" w:bidi="ar-SA"/>
    </w:rPr>
  </w:style>
  <w:style w:type="character" w:customStyle="1" w:styleId="mixed-citation">
    <w:name w:val="mixed-citation"/>
    <w:basedOn w:val="DefaultParagraphFont"/>
    <w:rsid w:val="009160D7"/>
  </w:style>
  <w:style w:type="character" w:customStyle="1" w:styleId="ref-title">
    <w:name w:val="ref-title"/>
    <w:basedOn w:val="DefaultParagraphFont"/>
    <w:rsid w:val="009160D7"/>
  </w:style>
  <w:style w:type="character" w:customStyle="1" w:styleId="filter-titles">
    <w:name w:val="filter-titles"/>
    <w:basedOn w:val="DefaultParagraphFont"/>
    <w:rsid w:val="00956F2B"/>
  </w:style>
  <w:style w:type="character" w:customStyle="1" w:styleId="FootnoteTextChar">
    <w:name w:val="Footnote Text Char"/>
    <w:aliases w:val="Footnotes Text Char,FSFootnotes Text Char"/>
    <w:basedOn w:val="DefaultParagraphFont"/>
    <w:link w:val="FootnoteText"/>
    <w:uiPriority w:val="5"/>
    <w:rsid w:val="002A381C"/>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3456">
      <w:bodyDiv w:val="1"/>
      <w:marLeft w:val="0"/>
      <w:marRight w:val="0"/>
      <w:marTop w:val="0"/>
      <w:marBottom w:val="0"/>
      <w:divBdr>
        <w:top w:val="none" w:sz="0" w:space="0" w:color="auto"/>
        <w:left w:val="none" w:sz="0" w:space="0" w:color="auto"/>
        <w:bottom w:val="none" w:sz="0" w:space="0" w:color="auto"/>
        <w:right w:val="none" w:sz="0" w:space="0" w:color="auto"/>
      </w:divBdr>
    </w:div>
    <w:div w:id="89618853">
      <w:bodyDiv w:val="1"/>
      <w:marLeft w:val="0"/>
      <w:marRight w:val="0"/>
      <w:marTop w:val="0"/>
      <w:marBottom w:val="0"/>
      <w:divBdr>
        <w:top w:val="none" w:sz="0" w:space="0" w:color="auto"/>
        <w:left w:val="none" w:sz="0" w:space="0" w:color="auto"/>
        <w:bottom w:val="none" w:sz="0" w:space="0" w:color="auto"/>
        <w:right w:val="none" w:sz="0" w:space="0" w:color="auto"/>
      </w:divBdr>
    </w:div>
    <w:div w:id="117068043">
      <w:bodyDiv w:val="1"/>
      <w:marLeft w:val="0"/>
      <w:marRight w:val="0"/>
      <w:marTop w:val="0"/>
      <w:marBottom w:val="0"/>
      <w:divBdr>
        <w:top w:val="none" w:sz="0" w:space="0" w:color="auto"/>
        <w:left w:val="none" w:sz="0" w:space="0" w:color="auto"/>
        <w:bottom w:val="none" w:sz="0" w:space="0" w:color="auto"/>
        <w:right w:val="none" w:sz="0" w:space="0" w:color="auto"/>
      </w:divBdr>
      <w:divsChild>
        <w:div w:id="1173691197">
          <w:marLeft w:val="0"/>
          <w:marRight w:val="0"/>
          <w:marTop w:val="0"/>
          <w:marBottom w:val="0"/>
          <w:divBdr>
            <w:top w:val="none" w:sz="0" w:space="0" w:color="auto"/>
            <w:left w:val="none" w:sz="0" w:space="0" w:color="auto"/>
            <w:bottom w:val="none" w:sz="0" w:space="0" w:color="auto"/>
            <w:right w:val="none" w:sz="0" w:space="0" w:color="auto"/>
          </w:divBdr>
          <w:divsChild>
            <w:div w:id="1457066190">
              <w:marLeft w:val="0"/>
              <w:marRight w:val="0"/>
              <w:marTop w:val="0"/>
              <w:marBottom w:val="0"/>
              <w:divBdr>
                <w:top w:val="none" w:sz="0" w:space="0" w:color="auto"/>
                <w:left w:val="none" w:sz="0" w:space="0" w:color="auto"/>
                <w:bottom w:val="none" w:sz="0" w:space="0" w:color="auto"/>
                <w:right w:val="none" w:sz="0" w:space="0" w:color="auto"/>
              </w:divBdr>
              <w:divsChild>
                <w:div w:id="427041106">
                  <w:marLeft w:val="0"/>
                  <w:marRight w:val="0"/>
                  <w:marTop w:val="0"/>
                  <w:marBottom w:val="0"/>
                  <w:divBdr>
                    <w:top w:val="none" w:sz="0" w:space="0" w:color="auto"/>
                    <w:left w:val="none" w:sz="0" w:space="0" w:color="auto"/>
                    <w:bottom w:val="none" w:sz="0" w:space="0" w:color="auto"/>
                    <w:right w:val="none" w:sz="0" w:space="0" w:color="auto"/>
                  </w:divBdr>
                  <w:divsChild>
                    <w:div w:id="731658111">
                      <w:marLeft w:val="0"/>
                      <w:marRight w:val="0"/>
                      <w:marTop w:val="0"/>
                      <w:marBottom w:val="0"/>
                      <w:divBdr>
                        <w:top w:val="none" w:sz="0" w:space="0" w:color="auto"/>
                        <w:left w:val="none" w:sz="0" w:space="0" w:color="auto"/>
                        <w:bottom w:val="none" w:sz="0" w:space="0" w:color="auto"/>
                        <w:right w:val="none" w:sz="0" w:space="0" w:color="auto"/>
                      </w:divBdr>
                      <w:divsChild>
                        <w:div w:id="781845922">
                          <w:marLeft w:val="0"/>
                          <w:marRight w:val="0"/>
                          <w:marTop w:val="0"/>
                          <w:marBottom w:val="0"/>
                          <w:divBdr>
                            <w:top w:val="none" w:sz="0" w:space="0" w:color="auto"/>
                            <w:left w:val="none" w:sz="0" w:space="0" w:color="auto"/>
                            <w:bottom w:val="none" w:sz="0" w:space="0" w:color="auto"/>
                            <w:right w:val="none" w:sz="0" w:space="0" w:color="auto"/>
                          </w:divBdr>
                          <w:divsChild>
                            <w:div w:id="1599631022">
                              <w:marLeft w:val="0"/>
                              <w:marRight w:val="0"/>
                              <w:marTop w:val="0"/>
                              <w:marBottom w:val="0"/>
                              <w:divBdr>
                                <w:top w:val="none" w:sz="0" w:space="0" w:color="auto"/>
                                <w:left w:val="none" w:sz="0" w:space="0" w:color="auto"/>
                                <w:bottom w:val="none" w:sz="0" w:space="0" w:color="auto"/>
                                <w:right w:val="none" w:sz="0" w:space="0" w:color="auto"/>
                              </w:divBdr>
                              <w:divsChild>
                                <w:div w:id="1813936419">
                                  <w:marLeft w:val="0"/>
                                  <w:marRight w:val="0"/>
                                  <w:marTop w:val="0"/>
                                  <w:marBottom w:val="0"/>
                                  <w:divBdr>
                                    <w:top w:val="none" w:sz="0" w:space="0" w:color="auto"/>
                                    <w:left w:val="none" w:sz="0" w:space="0" w:color="auto"/>
                                    <w:bottom w:val="none" w:sz="0" w:space="0" w:color="auto"/>
                                    <w:right w:val="none" w:sz="0" w:space="0" w:color="auto"/>
                                  </w:divBdr>
                                  <w:divsChild>
                                    <w:div w:id="635531838">
                                      <w:marLeft w:val="0"/>
                                      <w:marRight w:val="0"/>
                                      <w:marTop w:val="0"/>
                                      <w:marBottom w:val="0"/>
                                      <w:divBdr>
                                        <w:top w:val="none" w:sz="0" w:space="0" w:color="auto"/>
                                        <w:left w:val="none" w:sz="0" w:space="0" w:color="auto"/>
                                        <w:bottom w:val="none" w:sz="0" w:space="0" w:color="auto"/>
                                        <w:right w:val="none" w:sz="0" w:space="0" w:color="auto"/>
                                      </w:divBdr>
                                      <w:divsChild>
                                        <w:div w:id="294412848">
                                          <w:marLeft w:val="0"/>
                                          <w:marRight w:val="0"/>
                                          <w:marTop w:val="0"/>
                                          <w:marBottom w:val="0"/>
                                          <w:divBdr>
                                            <w:top w:val="none" w:sz="0" w:space="0" w:color="auto"/>
                                            <w:left w:val="none" w:sz="0" w:space="0" w:color="auto"/>
                                            <w:bottom w:val="none" w:sz="0" w:space="0" w:color="auto"/>
                                            <w:right w:val="none" w:sz="0" w:space="0" w:color="auto"/>
                                          </w:divBdr>
                                        </w:div>
                                        <w:div w:id="19367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36438">
      <w:bodyDiv w:val="1"/>
      <w:marLeft w:val="0"/>
      <w:marRight w:val="0"/>
      <w:marTop w:val="0"/>
      <w:marBottom w:val="0"/>
      <w:divBdr>
        <w:top w:val="none" w:sz="0" w:space="0" w:color="auto"/>
        <w:left w:val="none" w:sz="0" w:space="0" w:color="auto"/>
        <w:bottom w:val="none" w:sz="0" w:space="0" w:color="auto"/>
        <w:right w:val="none" w:sz="0" w:space="0" w:color="auto"/>
      </w:divBdr>
    </w:div>
    <w:div w:id="191381342">
      <w:bodyDiv w:val="1"/>
      <w:marLeft w:val="0"/>
      <w:marRight w:val="0"/>
      <w:marTop w:val="0"/>
      <w:marBottom w:val="0"/>
      <w:divBdr>
        <w:top w:val="none" w:sz="0" w:space="0" w:color="auto"/>
        <w:left w:val="none" w:sz="0" w:space="0" w:color="auto"/>
        <w:bottom w:val="none" w:sz="0" w:space="0" w:color="auto"/>
        <w:right w:val="none" w:sz="0" w:space="0" w:color="auto"/>
      </w:divBdr>
      <w:divsChild>
        <w:div w:id="711274920">
          <w:marLeft w:val="0"/>
          <w:marRight w:val="0"/>
          <w:marTop w:val="0"/>
          <w:marBottom w:val="0"/>
          <w:divBdr>
            <w:top w:val="none" w:sz="0" w:space="0" w:color="auto"/>
            <w:left w:val="none" w:sz="0" w:space="0" w:color="auto"/>
            <w:bottom w:val="none" w:sz="0" w:space="0" w:color="auto"/>
            <w:right w:val="none" w:sz="0" w:space="0" w:color="auto"/>
          </w:divBdr>
          <w:divsChild>
            <w:div w:id="1389182404">
              <w:marLeft w:val="0"/>
              <w:marRight w:val="0"/>
              <w:marTop w:val="0"/>
              <w:marBottom w:val="0"/>
              <w:divBdr>
                <w:top w:val="none" w:sz="0" w:space="0" w:color="auto"/>
                <w:left w:val="none" w:sz="0" w:space="0" w:color="auto"/>
                <w:bottom w:val="none" w:sz="0" w:space="0" w:color="auto"/>
                <w:right w:val="none" w:sz="0" w:space="0" w:color="auto"/>
              </w:divBdr>
              <w:divsChild>
                <w:div w:id="1525705040">
                  <w:marLeft w:val="-225"/>
                  <w:marRight w:val="-225"/>
                  <w:marTop w:val="0"/>
                  <w:marBottom w:val="0"/>
                  <w:divBdr>
                    <w:top w:val="none" w:sz="0" w:space="0" w:color="auto"/>
                    <w:left w:val="none" w:sz="0" w:space="0" w:color="auto"/>
                    <w:bottom w:val="none" w:sz="0" w:space="0" w:color="auto"/>
                    <w:right w:val="none" w:sz="0" w:space="0" w:color="auto"/>
                  </w:divBdr>
                  <w:divsChild>
                    <w:div w:id="1153713009">
                      <w:marLeft w:val="0"/>
                      <w:marRight w:val="0"/>
                      <w:marTop w:val="0"/>
                      <w:marBottom w:val="0"/>
                      <w:divBdr>
                        <w:top w:val="none" w:sz="0" w:space="0" w:color="auto"/>
                        <w:left w:val="none" w:sz="0" w:space="0" w:color="auto"/>
                        <w:bottom w:val="none" w:sz="0" w:space="0" w:color="auto"/>
                        <w:right w:val="none" w:sz="0" w:space="0" w:color="auto"/>
                      </w:divBdr>
                      <w:divsChild>
                        <w:div w:id="294410638">
                          <w:marLeft w:val="0"/>
                          <w:marRight w:val="0"/>
                          <w:marTop w:val="0"/>
                          <w:marBottom w:val="0"/>
                          <w:divBdr>
                            <w:top w:val="none" w:sz="0" w:space="0" w:color="auto"/>
                            <w:left w:val="none" w:sz="0" w:space="0" w:color="auto"/>
                            <w:bottom w:val="none" w:sz="0" w:space="0" w:color="auto"/>
                            <w:right w:val="none" w:sz="0" w:space="0" w:color="auto"/>
                          </w:divBdr>
                          <w:divsChild>
                            <w:div w:id="105272163">
                              <w:marLeft w:val="0"/>
                              <w:marRight w:val="0"/>
                              <w:marTop w:val="0"/>
                              <w:marBottom w:val="0"/>
                              <w:divBdr>
                                <w:top w:val="none" w:sz="0" w:space="0" w:color="auto"/>
                                <w:left w:val="none" w:sz="0" w:space="0" w:color="auto"/>
                                <w:bottom w:val="none" w:sz="0" w:space="0" w:color="auto"/>
                                <w:right w:val="none" w:sz="0" w:space="0" w:color="auto"/>
                              </w:divBdr>
                              <w:divsChild>
                                <w:div w:id="7424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77577">
      <w:bodyDiv w:val="1"/>
      <w:marLeft w:val="0"/>
      <w:marRight w:val="0"/>
      <w:marTop w:val="0"/>
      <w:marBottom w:val="0"/>
      <w:divBdr>
        <w:top w:val="none" w:sz="0" w:space="0" w:color="auto"/>
        <w:left w:val="none" w:sz="0" w:space="0" w:color="auto"/>
        <w:bottom w:val="none" w:sz="0" w:space="0" w:color="auto"/>
        <w:right w:val="none" w:sz="0" w:space="0" w:color="auto"/>
      </w:divBdr>
    </w:div>
    <w:div w:id="306709693">
      <w:bodyDiv w:val="1"/>
      <w:marLeft w:val="0"/>
      <w:marRight w:val="0"/>
      <w:marTop w:val="0"/>
      <w:marBottom w:val="0"/>
      <w:divBdr>
        <w:top w:val="none" w:sz="0" w:space="0" w:color="auto"/>
        <w:left w:val="none" w:sz="0" w:space="0" w:color="auto"/>
        <w:bottom w:val="none" w:sz="0" w:space="0" w:color="auto"/>
        <w:right w:val="none" w:sz="0" w:space="0" w:color="auto"/>
      </w:divBdr>
    </w:div>
    <w:div w:id="414594148">
      <w:bodyDiv w:val="1"/>
      <w:marLeft w:val="0"/>
      <w:marRight w:val="0"/>
      <w:marTop w:val="0"/>
      <w:marBottom w:val="0"/>
      <w:divBdr>
        <w:top w:val="none" w:sz="0" w:space="0" w:color="auto"/>
        <w:left w:val="none" w:sz="0" w:space="0" w:color="auto"/>
        <w:bottom w:val="none" w:sz="0" w:space="0" w:color="auto"/>
        <w:right w:val="none" w:sz="0" w:space="0" w:color="auto"/>
      </w:divBdr>
    </w:div>
    <w:div w:id="435831748">
      <w:bodyDiv w:val="1"/>
      <w:marLeft w:val="0"/>
      <w:marRight w:val="0"/>
      <w:marTop w:val="0"/>
      <w:marBottom w:val="0"/>
      <w:divBdr>
        <w:top w:val="none" w:sz="0" w:space="0" w:color="auto"/>
        <w:left w:val="none" w:sz="0" w:space="0" w:color="auto"/>
        <w:bottom w:val="none" w:sz="0" w:space="0" w:color="auto"/>
        <w:right w:val="none" w:sz="0" w:space="0" w:color="auto"/>
      </w:divBdr>
    </w:div>
    <w:div w:id="480541374">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711463074">
      <w:bodyDiv w:val="1"/>
      <w:marLeft w:val="0"/>
      <w:marRight w:val="0"/>
      <w:marTop w:val="0"/>
      <w:marBottom w:val="0"/>
      <w:divBdr>
        <w:top w:val="none" w:sz="0" w:space="0" w:color="auto"/>
        <w:left w:val="none" w:sz="0" w:space="0" w:color="auto"/>
        <w:bottom w:val="none" w:sz="0" w:space="0" w:color="auto"/>
        <w:right w:val="none" w:sz="0" w:space="0" w:color="auto"/>
      </w:divBdr>
    </w:div>
    <w:div w:id="728039615">
      <w:bodyDiv w:val="1"/>
      <w:marLeft w:val="0"/>
      <w:marRight w:val="0"/>
      <w:marTop w:val="0"/>
      <w:marBottom w:val="0"/>
      <w:divBdr>
        <w:top w:val="none" w:sz="0" w:space="0" w:color="auto"/>
        <w:left w:val="none" w:sz="0" w:space="0" w:color="auto"/>
        <w:bottom w:val="none" w:sz="0" w:space="0" w:color="auto"/>
        <w:right w:val="none" w:sz="0" w:space="0" w:color="auto"/>
      </w:divBdr>
    </w:div>
    <w:div w:id="835221602">
      <w:bodyDiv w:val="1"/>
      <w:marLeft w:val="0"/>
      <w:marRight w:val="0"/>
      <w:marTop w:val="0"/>
      <w:marBottom w:val="0"/>
      <w:divBdr>
        <w:top w:val="none" w:sz="0" w:space="0" w:color="auto"/>
        <w:left w:val="none" w:sz="0" w:space="0" w:color="auto"/>
        <w:bottom w:val="none" w:sz="0" w:space="0" w:color="auto"/>
        <w:right w:val="none" w:sz="0" w:space="0" w:color="auto"/>
      </w:divBdr>
    </w:div>
    <w:div w:id="840972962">
      <w:bodyDiv w:val="1"/>
      <w:marLeft w:val="0"/>
      <w:marRight w:val="0"/>
      <w:marTop w:val="0"/>
      <w:marBottom w:val="0"/>
      <w:divBdr>
        <w:top w:val="none" w:sz="0" w:space="0" w:color="auto"/>
        <w:left w:val="none" w:sz="0" w:space="0" w:color="auto"/>
        <w:bottom w:val="none" w:sz="0" w:space="0" w:color="auto"/>
        <w:right w:val="none" w:sz="0" w:space="0" w:color="auto"/>
      </w:divBdr>
    </w:div>
    <w:div w:id="994408164">
      <w:bodyDiv w:val="1"/>
      <w:marLeft w:val="0"/>
      <w:marRight w:val="0"/>
      <w:marTop w:val="0"/>
      <w:marBottom w:val="0"/>
      <w:divBdr>
        <w:top w:val="none" w:sz="0" w:space="0" w:color="auto"/>
        <w:left w:val="none" w:sz="0" w:space="0" w:color="auto"/>
        <w:bottom w:val="none" w:sz="0" w:space="0" w:color="auto"/>
        <w:right w:val="none" w:sz="0" w:space="0" w:color="auto"/>
      </w:divBdr>
    </w:div>
    <w:div w:id="1040861124">
      <w:bodyDiv w:val="1"/>
      <w:marLeft w:val="0"/>
      <w:marRight w:val="0"/>
      <w:marTop w:val="0"/>
      <w:marBottom w:val="0"/>
      <w:divBdr>
        <w:top w:val="none" w:sz="0" w:space="0" w:color="auto"/>
        <w:left w:val="none" w:sz="0" w:space="0" w:color="auto"/>
        <w:bottom w:val="none" w:sz="0" w:space="0" w:color="auto"/>
        <w:right w:val="none" w:sz="0" w:space="0" w:color="auto"/>
      </w:divBdr>
    </w:div>
    <w:div w:id="1113205556">
      <w:bodyDiv w:val="1"/>
      <w:marLeft w:val="0"/>
      <w:marRight w:val="0"/>
      <w:marTop w:val="0"/>
      <w:marBottom w:val="0"/>
      <w:divBdr>
        <w:top w:val="none" w:sz="0" w:space="0" w:color="auto"/>
        <w:left w:val="none" w:sz="0" w:space="0" w:color="auto"/>
        <w:bottom w:val="none" w:sz="0" w:space="0" w:color="auto"/>
        <w:right w:val="none" w:sz="0" w:space="0" w:color="auto"/>
      </w:divBdr>
    </w:div>
    <w:div w:id="1241987529">
      <w:bodyDiv w:val="1"/>
      <w:marLeft w:val="0"/>
      <w:marRight w:val="0"/>
      <w:marTop w:val="0"/>
      <w:marBottom w:val="0"/>
      <w:divBdr>
        <w:top w:val="none" w:sz="0" w:space="0" w:color="auto"/>
        <w:left w:val="none" w:sz="0" w:space="0" w:color="auto"/>
        <w:bottom w:val="none" w:sz="0" w:space="0" w:color="auto"/>
        <w:right w:val="none" w:sz="0" w:space="0" w:color="auto"/>
      </w:divBdr>
      <w:divsChild>
        <w:div w:id="672881946">
          <w:marLeft w:val="0"/>
          <w:marRight w:val="0"/>
          <w:marTop w:val="0"/>
          <w:marBottom w:val="0"/>
          <w:divBdr>
            <w:top w:val="none" w:sz="0" w:space="0" w:color="auto"/>
            <w:left w:val="none" w:sz="0" w:space="0" w:color="auto"/>
            <w:bottom w:val="none" w:sz="0" w:space="0" w:color="auto"/>
            <w:right w:val="none" w:sz="0" w:space="0" w:color="auto"/>
          </w:divBdr>
          <w:divsChild>
            <w:div w:id="662123885">
              <w:marLeft w:val="0"/>
              <w:marRight w:val="0"/>
              <w:marTop w:val="225"/>
              <w:marBottom w:val="0"/>
              <w:divBdr>
                <w:top w:val="none" w:sz="0" w:space="0" w:color="auto"/>
                <w:left w:val="none" w:sz="0" w:space="0" w:color="auto"/>
                <w:bottom w:val="none" w:sz="0" w:space="0" w:color="auto"/>
                <w:right w:val="none" w:sz="0" w:space="0" w:color="auto"/>
              </w:divBdr>
              <w:divsChild>
                <w:div w:id="1495336704">
                  <w:marLeft w:val="0"/>
                  <w:marRight w:val="0"/>
                  <w:marTop w:val="0"/>
                  <w:marBottom w:val="0"/>
                  <w:divBdr>
                    <w:top w:val="none" w:sz="0" w:space="0" w:color="auto"/>
                    <w:left w:val="none" w:sz="0" w:space="0" w:color="auto"/>
                    <w:bottom w:val="none" w:sz="0" w:space="0" w:color="auto"/>
                    <w:right w:val="none" w:sz="0" w:space="0" w:color="auto"/>
                  </w:divBdr>
                  <w:divsChild>
                    <w:div w:id="759373762">
                      <w:marLeft w:val="0"/>
                      <w:marRight w:val="0"/>
                      <w:marTop w:val="0"/>
                      <w:marBottom w:val="750"/>
                      <w:divBdr>
                        <w:top w:val="none" w:sz="0" w:space="0" w:color="auto"/>
                        <w:left w:val="none" w:sz="0" w:space="0" w:color="auto"/>
                        <w:bottom w:val="none" w:sz="0" w:space="0" w:color="auto"/>
                        <w:right w:val="none" w:sz="0" w:space="0" w:color="auto"/>
                      </w:divBdr>
                      <w:divsChild>
                        <w:div w:id="443578528">
                          <w:marLeft w:val="0"/>
                          <w:marRight w:val="0"/>
                          <w:marTop w:val="0"/>
                          <w:marBottom w:val="150"/>
                          <w:divBdr>
                            <w:top w:val="none" w:sz="0" w:space="0" w:color="auto"/>
                            <w:left w:val="none" w:sz="0" w:space="0" w:color="auto"/>
                            <w:bottom w:val="none" w:sz="0" w:space="0" w:color="auto"/>
                            <w:right w:val="none" w:sz="0" w:space="0" w:color="auto"/>
                          </w:divBdr>
                          <w:divsChild>
                            <w:div w:id="1938513270">
                              <w:marLeft w:val="0"/>
                              <w:marRight w:val="0"/>
                              <w:marTop w:val="0"/>
                              <w:marBottom w:val="0"/>
                              <w:divBdr>
                                <w:top w:val="none" w:sz="0" w:space="0" w:color="auto"/>
                                <w:left w:val="none" w:sz="0" w:space="0" w:color="auto"/>
                                <w:bottom w:val="none" w:sz="0" w:space="0" w:color="auto"/>
                                <w:right w:val="none" w:sz="0" w:space="0" w:color="auto"/>
                              </w:divBdr>
                              <w:divsChild>
                                <w:div w:id="1144735803">
                                  <w:marLeft w:val="0"/>
                                  <w:marRight w:val="0"/>
                                  <w:marTop w:val="0"/>
                                  <w:marBottom w:val="0"/>
                                  <w:divBdr>
                                    <w:top w:val="none" w:sz="0" w:space="0" w:color="auto"/>
                                    <w:left w:val="none" w:sz="0" w:space="0" w:color="auto"/>
                                    <w:bottom w:val="none" w:sz="0" w:space="0" w:color="auto"/>
                                    <w:right w:val="none" w:sz="0" w:space="0" w:color="auto"/>
                                  </w:divBdr>
                                  <w:divsChild>
                                    <w:div w:id="783312064">
                                      <w:marLeft w:val="0"/>
                                      <w:marRight w:val="0"/>
                                      <w:marTop w:val="0"/>
                                      <w:marBottom w:val="0"/>
                                      <w:divBdr>
                                        <w:top w:val="none" w:sz="0" w:space="0" w:color="auto"/>
                                        <w:left w:val="none" w:sz="0" w:space="0" w:color="auto"/>
                                        <w:bottom w:val="none" w:sz="0" w:space="0" w:color="auto"/>
                                        <w:right w:val="none" w:sz="0" w:space="0" w:color="auto"/>
                                      </w:divBdr>
                                    </w:div>
                                  </w:divsChild>
                                </w:div>
                                <w:div w:id="1408960912">
                                  <w:marLeft w:val="0"/>
                                  <w:marRight w:val="0"/>
                                  <w:marTop w:val="0"/>
                                  <w:marBottom w:val="0"/>
                                  <w:divBdr>
                                    <w:top w:val="none" w:sz="0" w:space="0" w:color="auto"/>
                                    <w:left w:val="none" w:sz="0" w:space="0" w:color="auto"/>
                                    <w:bottom w:val="none" w:sz="0" w:space="0" w:color="auto"/>
                                    <w:right w:val="none" w:sz="0" w:space="0" w:color="auto"/>
                                  </w:divBdr>
                                  <w:divsChild>
                                    <w:div w:id="2275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6493">
      <w:bodyDiv w:val="1"/>
      <w:marLeft w:val="0"/>
      <w:marRight w:val="0"/>
      <w:marTop w:val="0"/>
      <w:marBottom w:val="0"/>
      <w:divBdr>
        <w:top w:val="none" w:sz="0" w:space="0" w:color="auto"/>
        <w:left w:val="none" w:sz="0" w:space="0" w:color="auto"/>
        <w:bottom w:val="none" w:sz="0" w:space="0" w:color="auto"/>
        <w:right w:val="none" w:sz="0" w:space="0" w:color="auto"/>
      </w:divBdr>
      <w:divsChild>
        <w:div w:id="1249735126">
          <w:marLeft w:val="0"/>
          <w:marRight w:val="0"/>
          <w:marTop w:val="0"/>
          <w:marBottom w:val="0"/>
          <w:divBdr>
            <w:top w:val="none" w:sz="0" w:space="0" w:color="auto"/>
            <w:left w:val="none" w:sz="0" w:space="0" w:color="auto"/>
            <w:bottom w:val="none" w:sz="0" w:space="0" w:color="auto"/>
            <w:right w:val="none" w:sz="0" w:space="0" w:color="auto"/>
          </w:divBdr>
          <w:divsChild>
            <w:div w:id="1637834894">
              <w:marLeft w:val="0"/>
              <w:marRight w:val="0"/>
              <w:marTop w:val="0"/>
              <w:marBottom w:val="0"/>
              <w:divBdr>
                <w:top w:val="none" w:sz="0" w:space="0" w:color="auto"/>
                <w:left w:val="none" w:sz="0" w:space="0" w:color="auto"/>
                <w:bottom w:val="none" w:sz="0" w:space="0" w:color="auto"/>
                <w:right w:val="none" w:sz="0" w:space="0" w:color="auto"/>
              </w:divBdr>
              <w:divsChild>
                <w:div w:id="19209404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50058636">
      <w:bodyDiv w:val="1"/>
      <w:marLeft w:val="0"/>
      <w:marRight w:val="0"/>
      <w:marTop w:val="0"/>
      <w:marBottom w:val="0"/>
      <w:divBdr>
        <w:top w:val="none" w:sz="0" w:space="0" w:color="auto"/>
        <w:left w:val="none" w:sz="0" w:space="0" w:color="auto"/>
        <w:bottom w:val="none" w:sz="0" w:space="0" w:color="auto"/>
        <w:right w:val="none" w:sz="0" w:space="0" w:color="auto"/>
      </w:divBdr>
      <w:divsChild>
        <w:div w:id="647711314">
          <w:marLeft w:val="0"/>
          <w:marRight w:val="0"/>
          <w:marTop w:val="0"/>
          <w:marBottom w:val="0"/>
          <w:divBdr>
            <w:top w:val="none" w:sz="0" w:space="0" w:color="auto"/>
            <w:left w:val="none" w:sz="0" w:space="0" w:color="auto"/>
            <w:bottom w:val="none" w:sz="0" w:space="0" w:color="auto"/>
            <w:right w:val="none" w:sz="0" w:space="0" w:color="auto"/>
          </w:divBdr>
          <w:divsChild>
            <w:div w:id="1813060774">
              <w:marLeft w:val="0"/>
              <w:marRight w:val="0"/>
              <w:marTop w:val="0"/>
              <w:marBottom w:val="0"/>
              <w:divBdr>
                <w:top w:val="none" w:sz="0" w:space="0" w:color="auto"/>
                <w:left w:val="none" w:sz="0" w:space="0" w:color="auto"/>
                <w:bottom w:val="none" w:sz="0" w:space="0" w:color="auto"/>
                <w:right w:val="none" w:sz="0" w:space="0" w:color="auto"/>
              </w:divBdr>
              <w:divsChild>
                <w:div w:id="85007658">
                  <w:marLeft w:val="0"/>
                  <w:marRight w:val="0"/>
                  <w:marTop w:val="0"/>
                  <w:marBottom w:val="0"/>
                  <w:divBdr>
                    <w:top w:val="none" w:sz="0" w:space="0" w:color="auto"/>
                    <w:left w:val="none" w:sz="0" w:space="0" w:color="auto"/>
                    <w:bottom w:val="none" w:sz="0" w:space="0" w:color="auto"/>
                    <w:right w:val="none" w:sz="0" w:space="0" w:color="auto"/>
                  </w:divBdr>
                  <w:divsChild>
                    <w:div w:id="1018700812">
                      <w:marLeft w:val="0"/>
                      <w:marRight w:val="0"/>
                      <w:marTop w:val="0"/>
                      <w:marBottom w:val="0"/>
                      <w:divBdr>
                        <w:top w:val="none" w:sz="0" w:space="0" w:color="auto"/>
                        <w:left w:val="none" w:sz="0" w:space="0" w:color="auto"/>
                        <w:bottom w:val="none" w:sz="0" w:space="0" w:color="auto"/>
                        <w:right w:val="none" w:sz="0" w:space="0" w:color="auto"/>
                      </w:divBdr>
                      <w:divsChild>
                        <w:div w:id="1493139413">
                          <w:marLeft w:val="0"/>
                          <w:marRight w:val="0"/>
                          <w:marTop w:val="0"/>
                          <w:marBottom w:val="0"/>
                          <w:divBdr>
                            <w:top w:val="none" w:sz="0" w:space="0" w:color="auto"/>
                            <w:left w:val="none" w:sz="0" w:space="0" w:color="auto"/>
                            <w:bottom w:val="none" w:sz="0" w:space="0" w:color="auto"/>
                            <w:right w:val="none" w:sz="0" w:space="0" w:color="auto"/>
                          </w:divBdr>
                          <w:divsChild>
                            <w:div w:id="269706146">
                              <w:marLeft w:val="0"/>
                              <w:marRight w:val="0"/>
                              <w:marTop w:val="0"/>
                              <w:marBottom w:val="0"/>
                              <w:divBdr>
                                <w:top w:val="none" w:sz="0" w:space="0" w:color="auto"/>
                                <w:left w:val="none" w:sz="0" w:space="0" w:color="auto"/>
                                <w:bottom w:val="none" w:sz="0" w:space="0" w:color="auto"/>
                                <w:right w:val="none" w:sz="0" w:space="0" w:color="auto"/>
                              </w:divBdr>
                              <w:divsChild>
                                <w:div w:id="1978145387">
                                  <w:marLeft w:val="0"/>
                                  <w:marRight w:val="0"/>
                                  <w:marTop w:val="0"/>
                                  <w:marBottom w:val="0"/>
                                  <w:divBdr>
                                    <w:top w:val="none" w:sz="0" w:space="0" w:color="auto"/>
                                    <w:left w:val="none" w:sz="0" w:space="0" w:color="auto"/>
                                    <w:bottom w:val="none" w:sz="0" w:space="0" w:color="auto"/>
                                    <w:right w:val="none" w:sz="0" w:space="0" w:color="auto"/>
                                  </w:divBdr>
                                  <w:divsChild>
                                    <w:div w:id="529299404">
                                      <w:marLeft w:val="0"/>
                                      <w:marRight w:val="0"/>
                                      <w:marTop w:val="0"/>
                                      <w:marBottom w:val="0"/>
                                      <w:divBdr>
                                        <w:top w:val="none" w:sz="0" w:space="0" w:color="auto"/>
                                        <w:left w:val="none" w:sz="0" w:space="0" w:color="auto"/>
                                        <w:bottom w:val="none" w:sz="0" w:space="0" w:color="auto"/>
                                        <w:right w:val="none" w:sz="0" w:space="0" w:color="auto"/>
                                      </w:divBdr>
                                      <w:divsChild>
                                        <w:div w:id="210043408">
                                          <w:marLeft w:val="0"/>
                                          <w:marRight w:val="0"/>
                                          <w:marTop w:val="0"/>
                                          <w:marBottom w:val="0"/>
                                          <w:divBdr>
                                            <w:top w:val="none" w:sz="0" w:space="0" w:color="auto"/>
                                            <w:left w:val="none" w:sz="0" w:space="0" w:color="auto"/>
                                            <w:bottom w:val="none" w:sz="0" w:space="0" w:color="auto"/>
                                            <w:right w:val="none" w:sz="0" w:space="0" w:color="auto"/>
                                          </w:divBdr>
                                          <w:divsChild>
                                            <w:div w:id="1173303333">
                                              <w:marLeft w:val="0"/>
                                              <w:marRight w:val="0"/>
                                              <w:marTop w:val="165"/>
                                              <w:marBottom w:val="165"/>
                                              <w:divBdr>
                                                <w:top w:val="none" w:sz="0" w:space="0" w:color="auto"/>
                                                <w:left w:val="none" w:sz="0" w:space="0" w:color="auto"/>
                                                <w:bottom w:val="none" w:sz="0" w:space="0" w:color="auto"/>
                                                <w:right w:val="none" w:sz="0" w:space="0" w:color="auto"/>
                                              </w:divBdr>
                                              <w:divsChild>
                                                <w:div w:id="1111894518">
                                                  <w:marLeft w:val="0"/>
                                                  <w:marRight w:val="0"/>
                                                  <w:marTop w:val="0"/>
                                                  <w:marBottom w:val="0"/>
                                                  <w:divBdr>
                                                    <w:top w:val="none" w:sz="0" w:space="0" w:color="auto"/>
                                                    <w:left w:val="none" w:sz="0" w:space="0" w:color="auto"/>
                                                    <w:bottom w:val="none" w:sz="0" w:space="0" w:color="auto"/>
                                                    <w:right w:val="none" w:sz="0" w:space="0" w:color="auto"/>
                                                  </w:divBdr>
                                                  <w:divsChild>
                                                    <w:div w:id="4505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868755">
      <w:bodyDiv w:val="1"/>
      <w:marLeft w:val="0"/>
      <w:marRight w:val="0"/>
      <w:marTop w:val="0"/>
      <w:marBottom w:val="0"/>
      <w:divBdr>
        <w:top w:val="none" w:sz="0" w:space="0" w:color="auto"/>
        <w:left w:val="none" w:sz="0" w:space="0" w:color="auto"/>
        <w:bottom w:val="none" w:sz="0" w:space="0" w:color="auto"/>
        <w:right w:val="none" w:sz="0" w:space="0" w:color="auto"/>
      </w:divBdr>
    </w:div>
    <w:div w:id="1392268504">
      <w:bodyDiv w:val="1"/>
      <w:marLeft w:val="0"/>
      <w:marRight w:val="0"/>
      <w:marTop w:val="0"/>
      <w:marBottom w:val="0"/>
      <w:divBdr>
        <w:top w:val="none" w:sz="0" w:space="0" w:color="auto"/>
        <w:left w:val="none" w:sz="0" w:space="0" w:color="auto"/>
        <w:bottom w:val="none" w:sz="0" w:space="0" w:color="auto"/>
        <w:right w:val="none" w:sz="0" w:space="0" w:color="auto"/>
      </w:divBdr>
    </w:div>
    <w:div w:id="1406998242">
      <w:bodyDiv w:val="1"/>
      <w:marLeft w:val="0"/>
      <w:marRight w:val="0"/>
      <w:marTop w:val="0"/>
      <w:marBottom w:val="0"/>
      <w:divBdr>
        <w:top w:val="none" w:sz="0" w:space="0" w:color="auto"/>
        <w:left w:val="none" w:sz="0" w:space="0" w:color="auto"/>
        <w:bottom w:val="none" w:sz="0" w:space="0" w:color="auto"/>
        <w:right w:val="none" w:sz="0" w:space="0" w:color="auto"/>
      </w:divBdr>
      <w:divsChild>
        <w:div w:id="1179466842">
          <w:marLeft w:val="0"/>
          <w:marRight w:val="0"/>
          <w:marTop w:val="0"/>
          <w:marBottom w:val="0"/>
          <w:divBdr>
            <w:top w:val="none" w:sz="0" w:space="0" w:color="auto"/>
            <w:left w:val="none" w:sz="0" w:space="0" w:color="auto"/>
            <w:bottom w:val="none" w:sz="0" w:space="0" w:color="auto"/>
            <w:right w:val="none" w:sz="0" w:space="0" w:color="auto"/>
          </w:divBdr>
          <w:divsChild>
            <w:div w:id="1907639456">
              <w:marLeft w:val="0"/>
              <w:marRight w:val="0"/>
              <w:marTop w:val="0"/>
              <w:marBottom w:val="0"/>
              <w:divBdr>
                <w:top w:val="none" w:sz="0" w:space="0" w:color="auto"/>
                <w:left w:val="none" w:sz="0" w:space="0" w:color="auto"/>
                <w:bottom w:val="none" w:sz="0" w:space="0" w:color="auto"/>
                <w:right w:val="none" w:sz="0" w:space="0" w:color="auto"/>
              </w:divBdr>
              <w:divsChild>
                <w:div w:id="2091657572">
                  <w:marLeft w:val="0"/>
                  <w:marRight w:val="0"/>
                  <w:marTop w:val="0"/>
                  <w:marBottom w:val="0"/>
                  <w:divBdr>
                    <w:top w:val="none" w:sz="0" w:space="0" w:color="auto"/>
                    <w:left w:val="none" w:sz="0" w:space="0" w:color="auto"/>
                    <w:bottom w:val="none" w:sz="0" w:space="0" w:color="auto"/>
                    <w:right w:val="none" w:sz="0" w:space="0" w:color="auto"/>
                  </w:divBdr>
                  <w:divsChild>
                    <w:div w:id="942879297">
                      <w:marLeft w:val="0"/>
                      <w:marRight w:val="0"/>
                      <w:marTop w:val="0"/>
                      <w:marBottom w:val="0"/>
                      <w:divBdr>
                        <w:top w:val="none" w:sz="0" w:space="0" w:color="auto"/>
                        <w:left w:val="none" w:sz="0" w:space="0" w:color="auto"/>
                        <w:bottom w:val="none" w:sz="0" w:space="0" w:color="auto"/>
                        <w:right w:val="none" w:sz="0" w:space="0" w:color="auto"/>
                      </w:divBdr>
                      <w:divsChild>
                        <w:div w:id="2017685416">
                          <w:marLeft w:val="0"/>
                          <w:marRight w:val="0"/>
                          <w:marTop w:val="0"/>
                          <w:marBottom w:val="0"/>
                          <w:divBdr>
                            <w:top w:val="none" w:sz="0" w:space="0" w:color="auto"/>
                            <w:left w:val="none" w:sz="0" w:space="0" w:color="auto"/>
                            <w:bottom w:val="none" w:sz="0" w:space="0" w:color="auto"/>
                            <w:right w:val="none" w:sz="0" w:space="0" w:color="auto"/>
                          </w:divBdr>
                          <w:divsChild>
                            <w:div w:id="431781839">
                              <w:marLeft w:val="0"/>
                              <w:marRight w:val="0"/>
                              <w:marTop w:val="0"/>
                              <w:marBottom w:val="0"/>
                              <w:divBdr>
                                <w:top w:val="none" w:sz="0" w:space="0" w:color="auto"/>
                                <w:left w:val="none" w:sz="0" w:space="0" w:color="auto"/>
                                <w:bottom w:val="none" w:sz="0" w:space="0" w:color="auto"/>
                                <w:right w:val="none" w:sz="0" w:space="0" w:color="auto"/>
                              </w:divBdr>
                              <w:divsChild>
                                <w:div w:id="1444882052">
                                  <w:marLeft w:val="0"/>
                                  <w:marRight w:val="0"/>
                                  <w:marTop w:val="0"/>
                                  <w:marBottom w:val="0"/>
                                  <w:divBdr>
                                    <w:top w:val="none" w:sz="0" w:space="0" w:color="auto"/>
                                    <w:left w:val="none" w:sz="0" w:space="0" w:color="auto"/>
                                    <w:bottom w:val="none" w:sz="0" w:space="0" w:color="auto"/>
                                    <w:right w:val="none" w:sz="0" w:space="0" w:color="auto"/>
                                  </w:divBdr>
                                  <w:divsChild>
                                    <w:div w:id="1681420705">
                                      <w:marLeft w:val="0"/>
                                      <w:marRight w:val="0"/>
                                      <w:marTop w:val="0"/>
                                      <w:marBottom w:val="0"/>
                                      <w:divBdr>
                                        <w:top w:val="none" w:sz="0" w:space="0" w:color="auto"/>
                                        <w:left w:val="none" w:sz="0" w:space="0" w:color="auto"/>
                                        <w:bottom w:val="none" w:sz="0" w:space="0" w:color="auto"/>
                                        <w:right w:val="none" w:sz="0" w:space="0" w:color="auto"/>
                                      </w:divBdr>
                                      <w:divsChild>
                                        <w:div w:id="1233001707">
                                          <w:marLeft w:val="0"/>
                                          <w:marRight w:val="0"/>
                                          <w:marTop w:val="0"/>
                                          <w:marBottom w:val="0"/>
                                          <w:divBdr>
                                            <w:top w:val="none" w:sz="0" w:space="0" w:color="auto"/>
                                            <w:left w:val="none" w:sz="0" w:space="0" w:color="auto"/>
                                            <w:bottom w:val="none" w:sz="0" w:space="0" w:color="auto"/>
                                            <w:right w:val="none" w:sz="0" w:space="0" w:color="auto"/>
                                          </w:divBdr>
                                          <w:divsChild>
                                            <w:div w:id="477965560">
                                              <w:marLeft w:val="0"/>
                                              <w:marRight w:val="0"/>
                                              <w:marTop w:val="0"/>
                                              <w:marBottom w:val="0"/>
                                              <w:divBdr>
                                                <w:top w:val="none" w:sz="0" w:space="0" w:color="auto"/>
                                                <w:left w:val="none" w:sz="0" w:space="0" w:color="auto"/>
                                                <w:bottom w:val="none" w:sz="0" w:space="0" w:color="auto"/>
                                                <w:right w:val="none" w:sz="0" w:space="0" w:color="auto"/>
                                              </w:divBdr>
                                              <w:divsChild>
                                                <w:div w:id="1580867513">
                                                  <w:marLeft w:val="0"/>
                                                  <w:marRight w:val="0"/>
                                                  <w:marTop w:val="0"/>
                                                  <w:marBottom w:val="0"/>
                                                  <w:divBdr>
                                                    <w:top w:val="none" w:sz="0" w:space="0" w:color="auto"/>
                                                    <w:left w:val="none" w:sz="0" w:space="0" w:color="auto"/>
                                                    <w:bottom w:val="none" w:sz="0" w:space="0" w:color="auto"/>
                                                    <w:right w:val="none" w:sz="0" w:space="0" w:color="auto"/>
                                                  </w:divBdr>
                                                  <w:divsChild>
                                                    <w:div w:id="1802727014">
                                                      <w:marLeft w:val="0"/>
                                                      <w:marRight w:val="0"/>
                                                      <w:marTop w:val="0"/>
                                                      <w:marBottom w:val="0"/>
                                                      <w:divBdr>
                                                        <w:top w:val="none" w:sz="0" w:space="0" w:color="auto"/>
                                                        <w:left w:val="none" w:sz="0" w:space="0" w:color="auto"/>
                                                        <w:bottom w:val="none" w:sz="0" w:space="0" w:color="auto"/>
                                                        <w:right w:val="none" w:sz="0" w:space="0" w:color="auto"/>
                                                      </w:divBdr>
                                                      <w:divsChild>
                                                        <w:div w:id="876741479">
                                                          <w:marLeft w:val="0"/>
                                                          <w:marRight w:val="0"/>
                                                          <w:marTop w:val="0"/>
                                                          <w:marBottom w:val="0"/>
                                                          <w:divBdr>
                                                            <w:top w:val="none" w:sz="0" w:space="0" w:color="auto"/>
                                                            <w:left w:val="none" w:sz="0" w:space="0" w:color="auto"/>
                                                            <w:bottom w:val="none" w:sz="0" w:space="0" w:color="auto"/>
                                                            <w:right w:val="none" w:sz="0" w:space="0" w:color="auto"/>
                                                          </w:divBdr>
                                                          <w:divsChild>
                                                            <w:div w:id="1612010757">
                                                              <w:marLeft w:val="0"/>
                                                              <w:marRight w:val="0"/>
                                                              <w:marTop w:val="0"/>
                                                              <w:marBottom w:val="0"/>
                                                              <w:divBdr>
                                                                <w:top w:val="none" w:sz="0" w:space="0" w:color="auto"/>
                                                                <w:left w:val="none" w:sz="0" w:space="0" w:color="auto"/>
                                                                <w:bottom w:val="none" w:sz="0" w:space="0" w:color="auto"/>
                                                                <w:right w:val="none" w:sz="0" w:space="0" w:color="auto"/>
                                                              </w:divBdr>
                                                              <w:divsChild>
                                                                <w:div w:id="640039518">
                                                                  <w:marLeft w:val="0"/>
                                                                  <w:marRight w:val="0"/>
                                                                  <w:marTop w:val="0"/>
                                                                  <w:marBottom w:val="0"/>
                                                                  <w:divBdr>
                                                                    <w:top w:val="none" w:sz="0" w:space="0" w:color="auto"/>
                                                                    <w:left w:val="none" w:sz="0" w:space="0" w:color="auto"/>
                                                                    <w:bottom w:val="none" w:sz="0" w:space="0" w:color="auto"/>
                                                                    <w:right w:val="none" w:sz="0" w:space="0" w:color="auto"/>
                                                                  </w:divBdr>
                                                                </w:div>
                                                                <w:div w:id="7882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2955">
                                                          <w:marLeft w:val="0"/>
                                                          <w:marRight w:val="0"/>
                                                          <w:marTop w:val="0"/>
                                                          <w:marBottom w:val="0"/>
                                                          <w:divBdr>
                                                            <w:top w:val="none" w:sz="0" w:space="0" w:color="auto"/>
                                                            <w:left w:val="none" w:sz="0" w:space="0" w:color="auto"/>
                                                            <w:bottom w:val="none" w:sz="0" w:space="0" w:color="auto"/>
                                                            <w:right w:val="none" w:sz="0" w:space="0" w:color="auto"/>
                                                          </w:divBdr>
                                                          <w:divsChild>
                                                            <w:div w:id="1880698261">
                                                              <w:marLeft w:val="0"/>
                                                              <w:marRight w:val="0"/>
                                                              <w:marTop w:val="0"/>
                                                              <w:marBottom w:val="0"/>
                                                              <w:divBdr>
                                                                <w:top w:val="none" w:sz="0" w:space="0" w:color="auto"/>
                                                                <w:left w:val="none" w:sz="0" w:space="0" w:color="auto"/>
                                                                <w:bottom w:val="none" w:sz="0" w:space="0" w:color="auto"/>
                                                                <w:right w:val="none" w:sz="0" w:space="0" w:color="auto"/>
                                                              </w:divBdr>
                                                              <w:divsChild>
                                                                <w:div w:id="252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12429">
      <w:bodyDiv w:val="1"/>
      <w:marLeft w:val="0"/>
      <w:marRight w:val="0"/>
      <w:marTop w:val="0"/>
      <w:marBottom w:val="0"/>
      <w:divBdr>
        <w:top w:val="none" w:sz="0" w:space="0" w:color="auto"/>
        <w:left w:val="none" w:sz="0" w:space="0" w:color="auto"/>
        <w:bottom w:val="none" w:sz="0" w:space="0" w:color="auto"/>
        <w:right w:val="none" w:sz="0" w:space="0" w:color="auto"/>
      </w:divBdr>
    </w:div>
    <w:div w:id="1537541997">
      <w:bodyDiv w:val="1"/>
      <w:marLeft w:val="0"/>
      <w:marRight w:val="0"/>
      <w:marTop w:val="0"/>
      <w:marBottom w:val="0"/>
      <w:divBdr>
        <w:top w:val="none" w:sz="0" w:space="0" w:color="auto"/>
        <w:left w:val="none" w:sz="0" w:space="0" w:color="auto"/>
        <w:bottom w:val="none" w:sz="0" w:space="0" w:color="auto"/>
        <w:right w:val="none" w:sz="0" w:space="0" w:color="auto"/>
      </w:divBdr>
    </w:div>
    <w:div w:id="1581402576">
      <w:bodyDiv w:val="1"/>
      <w:marLeft w:val="0"/>
      <w:marRight w:val="0"/>
      <w:marTop w:val="0"/>
      <w:marBottom w:val="0"/>
      <w:divBdr>
        <w:top w:val="none" w:sz="0" w:space="0" w:color="auto"/>
        <w:left w:val="none" w:sz="0" w:space="0" w:color="auto"/>
        <w:bottom w:val="none" w:sz="0" w:space="0" w:color="auto"/>
        <w:right w:val="none" w:sz="0" w:space="0" w:color="auto"/>
      </w:divBdr>
    </w:div>
    <w:div w:id="158375980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46163352">
      <w:bodyDiv w:val="1"/>
      <w:marLeft w:val="0"/>
      <w:marRight w:val="0"/>
      <w:marTop w:val="0"/>
      <w:marBottom w:val="0"/>
      <w:divBdr>
        <w:top w:val="none" w:sz="0" w:space="0" w:color="auto"/>
        <w:left w:val="none" w:sz="0" w:space="0" w:color="auto"/>
        <w:bottom w:val="none" w:sz="0" w:space="0" w:color="auto"/>
        <w:right w:val="none" w:sz="0" w:space="0" w:color="auto"/>
      </w:divBdr>
    </w:div>
    <w:div w:id="1652557125">
      <w:bodyDiv w:val="1"/>
      <w:marLeft w:val="0"/>
      <w:marRight w:val="0"/>
      <w:marTop w:val="0"/>
      <w:marBottom w:val="0"/>
      <w:divBdr>
        <w:top w:val="none" w:sz="0" w:space="0" w:color="auto"/>
        <w:left w:val="none" w:sz="0" w:space="0" w:color="auto"/>
        <w:bottom w:val="none" w:sz="0" w:space="0" w:color="auto"/>
        <w:right w:val="none" w:sz="0" w:space="0" w:color="auto"/>
      </w:divBdr>
      <w:divsChild>
        <w:div w:id="455950710">
          <w:marLeft w:val="0"/>
          <w:marRight w:val="0"/>
          <w:marTop w:val="0"/>
          <w:marBottom w:val="0"/>
          <w:divBdr>
            <w:top w:val="none" w:sz="0" w:space="0" w:color="auto"/>
            <w:left w:val="none" w:sz="0" w:space="0" w:color="auto"/>
            <w:bottom w:val="none" w:sz="0" w:space="0" w:color="auto"/>
            <w:right w:val="none" w:sz="0" w:space="0" w:color="auto"/>
          </w:divBdr>
          <w:divsChild>
            <w:div w:id="1389035531">
              <w:marLeft w:val="0"/>
              <w:marRight w:val="0"/>
              <w:marTop w:val="0"/>
              <w:marBottom w:val="0"/>
              <w:divBdr>
                <w:top w:val="none" w:sz="0" w:space="0" w:color="auto"/>
                <w:left w:val="none" w:sz="0" w:space="0" w:color="auto"/>
                <w:bottom w:val="none" w:sz="0" w:space="0" w:color="auto"/>
                <w:right w:val="none" w:sz="0" w:space="0" w:color="auto"/>
              </w:divBdr>
              <w:divsChild>
                <w:div w:id="1184711013">
                  <w:marLeft w:val="0"/>
                  <w:marRight w:val="0"/>
                  <w:marTop w:val="0"/>
                  <w:marBottom w:val="0"/>
                  <w:divBdr>
                    <w:top w:val="none" w:sz="0" w:space="0" w:color="auto"/>
                    <w:left w:val="none" w:sz="0" w:space="0" w:color="auto"/>
                    <w:bottom w:val="none" w:sz="0" w:space="0" w:color="auto"/>
                    <w:right w:val="none" w:sz="0" w:space="0" w:color="auto"/>
                  </w:divBdr>
                  <w:divsChild>
                    <w:div w:id="1501003760">
                      <w:marLeft w:val="0"/>
                      <w:marRight w:val="0"/>
                      <w:marTop w:val="0"/>
                      <w:marBottom w:val="0"/>
                      <w:divBdr>
                        <w:top w:val="none" w:sz="0" w:space="0" w:color="auto"/>
                        <w:left w:val="none" w:sz="0" w:space="0" w:color="auto"/>
                        <w:bottom w:val="none" w:sz="0" w:space="0" w:color="auto"/>
                        <w:right w:val="none" w:sz="0" w:space="0" w:color="auto"/>
                      </w:divBdr>
                      <w:divsChild>
                        <w:div w:id="1606114156">
                          <w:marLeft w:val="0"/>
                          <w:marRight w:val="0"/>
                          <w:marTop w:val="0"/>
                          <w:marBottom w:val="0"/>
                          <w:divBdr>
                            <w:top w:val="none" w:sz="0" w:space="0" w:color="auto"/>
                            <w:left w:val="none" w:sz="0" w:space="0" w:color="auto"/>
                            <w:bottom w:val="none" w:sz="0" w:space="0" w:color="auto"/>
                            <w:right w:val="none" w:sz="0" w:space="0" w:color="auto"/>
                          </w:divBdr>
                          <w:divsChild>
                            <w:div w:id="879829807">
                              <w:marLeft w:val="0"/>
                              <w:marRight w:val="0"/>
                              <w:marTop w:val="0"/>
                              <w:marBottom w:val="0"/>
                              <w:divBdr>
                                <w:top w:val="none" w:sz="0" w:space="0" w:color="auto"/>
                                <w:left w:val="none" w:sz="0" w:space="0" w:color="auto"/>
                                <w:bottom w:val="none" w:sz="0" w:space="0" w:color="auto"/>
                                <w:right w:val="none" w:sz="0" w:space="0" w:color="auto"/>
                              </w:divBdr>
                              <w:divsChild>
                                <w:div w:id="1503080239">
                                  <w:marLeft w:val="0"/>
                                  <w:marRight w:val="0"/>
                                  <w:marTop w:val="0"/>
                                  <w:marBottom w:val="0"/>
                                  <w:divBdr>
                                    <w:top w:val="none" w:sz="0" w:space="0" w:color="auto"/>
                                    <w:left w:val="none" w:sz="0" w:space="0" w:color="auto"/>
                                    <w:bottom w:val="none" w:sz="0" w:space="0" w:color="auto"/>
                                    <w:right w:val="none" w:sz="0" w:space="0" w:color="auto"/>
                                  </w:divBdr>
                                  <w:divsChild>
                                    <w:div w:id="1440567961">
                                      <w:marLeft w:val="0"/>
                                      <w:marRight w:val="0"/>
                                      <w:marTop w:val="0"/>
                                      <w:marBottom w:val="0"/>
                                      <w:divBdr>
                                        <w:top w:val="none" w:sz="0" w:space="0" w:color="auto"/>
                                        <w:left w:val="none" w:sz="0" w:space="0" w:color="auto"/>
                                        <w:bottom w:val="none" w:sz="0" w:space="0" w:color="auto"/>
                                        <w:right w:val="none" w:sz="0" w:space="0" w:color="auto"/>
                                      </w:divBdr>
                                      <w:divsChild>
                                        <w:div w:id="332345326">
                                          <w:marLeft w:val="0"/>
                                          <w:marRight w:val="0"/>
                                          <w:marTop w:val="0"/>
                                          <w:marBottom w:val="0"/>
                                          <w:divBdr>
                                            <w:top w:val="none" w:sz="0" w:space="0" w:color="auto"/>
                                            <w:left w:val="none" w:sz="0" w:space="0" w:color="auto"/>
                                            <w:bottom w:val="none" w:sz="0" w:space="0" w:color="auto"/>
                                            <w:right w:val="none" w:sz="0" w:space="0" w:color="auto"/>
                                          </w:divBdr>
                                          <w:divsChild>
                                            <w:div w:id="1418480526">
                                              <w:marLeft w:val="0"/>
                                              <w:marRight w:val="0"/>
                                              <w:marTop w:val="0"/>
                                              <w:marBottom w:val="0"/>
                                              <w:divBdr>
                                                <w:top w:val="none" w:sz="0" w:space="0" w:color="auto"/>
                                                <w:left w:val="none" w:sz="0" w:space="0" w:color="auto"/>
                                                <w:bottom w:val="none" w:sz="0" w:space="0" w:color="auto"/>
                                                <w:right w:val="none" w:sz="0" w:space="0" w:color="auto"/>
                                              </w:divBdr>
                                              <w:divsChild>
                                                <w:div w:id="1064913857">
                                                  <w:marLeft w:val="0"/>
                                                  <w:marRight w:val="0"/>
                                                  <w:marTop w:val="0"/>
                                                  <w:marBottom w:val="0"/>
                                                  <w:divBdr>
                                                    <w:top w:val="none" w:sz="0" w:space="0" w:color="auto"/>
                                                    <w:left w:val="none" w:sz="0" w:space="0" w:color="auto"/>
                                                    <w:bottom w:val="none" w:sz="0" w:space="0" w:color="auto"/>
                                                    <w:right w:val="none" w:sz="0" w:space="0" w:color="auto"/>
                                                  </w:divBdr>
                                                  <w:divsChild>
                                                    <w:div w:id="1120145384">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sChild>
                                                            <w:div w:id="411587435">
                                                              <w:marLeft w:val="0"/>
                                                              <w:marRight w:val="0"/>
                                                              <w:marTop w:val="0"/>
                                                              <w:marBottom w:val="0"/>
                                                              <w:divBdr>
                                                                <w:top w:val="none" w:sz="0" w:space="0" w:color="auto"/>
                                                                <w:left w:val="none" w:sz="0" w:space="0" w:color="auto"/>
                                                                <w:bottom w:val="none" w:sz="0" w:space="0" w:color="auto"/>
                                                                <w:right w:val="none" w:sz="0" w:space="0" w:color="auto"/>
                                                              </w:divBdr>
                                                              <w:divsChild>
                                                                <w:div w:id="560404205">
                                                                  <w:marLeft w:val="0"/>
                                                                  <w:marRight w:val="0"/>
                                                                  <w:marTop w:val="0"/>
                                                                  <w:marBottom w:val="0"/>
                                                                  <w:divBdr>
                                                                    <w:top w:val="none" w:sz="0" w:space="0" w:color="auto"/>
                                                                    <w:left w:val="none" w:sz="0" w:space="0" w:color="auto"/>
                                                                    <w:bottom w:val="none" w:sz="0" w:space="0" w:color="auto"/>
                                                                    <w:right w:val="none" w:sz="0" w:space="0" w:color="auto"/>
                                                                  </w:divBdr>
                                                                  <w:divsChild>
                                                                    <w:div w:id="8689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4986426">
      <w:bodyDiv w:val="1"/>
      <w:marLeft w:val="0"/>
      <w:marRight w:val="0"/>
      <w:marTop w:val="0"/>
      <w:marBottom w:val="0"/>
      <w:divBdr>
        <w:top w:val="none" w:sz="0" w:space="0" w:color="auto"/>
        <w:left w:val="none" w:sz="0" w:space="0" w:color="auto"/>
        <w:bottom w:val="none" w:sz="0" w:space="0" w:color="auto"/>
        <w:right w:val="none" w:sz="0" w:space="0" w:color="auto"/>
      </w:divBdr>
      <w:divsChild>
        <w:div w:id="335768573">
          <w:marLeft w:val="0"/>
          <w:marRight w:val="0"/>
          <w:marTop w:val="0"/>
          <w:marBottom w:val="0"/>
          <w:divBdr>
            <w:top w:val="none" w:sz="0" w:space="0" w:color="auto"/>
            <w:left w:val="none" w:sz="0" w:space="0" w:color="auto"/>
            <w:bottom w:val="none" w:sz="0" w:space="0" w:color="auto"/>
            <w:right w:val="none" w:sz="0" w:space="0" w:color="auto"/>
          </w:divBdr>
          <w:divsChild>
            <w:div w:id="1693068375">
              <w:marLeft w:val="0"/>
              <w:marRight w:val="0"/>
              <w:marTop w:val="0"/>
              <w:marBottom w:val="0"/>
              <w:divBdr>
                <w:top w:val="none" w:sz="0" w:space="0" w:color="auto"/>
                <w:left w:val="none" w:sz="0" w:space="0" w:color="auto"/>
                <w:bottom w:val="none" w:sz="0" w:space="0" w:color="auto"/>
                <w:right w:val="none" w:sz="0" w:space="0" w:color="auto"/>
              </w:divBdr>
              <w:divsChild>
                <w:div w:id="1216241276">
                  <w:marLeft w:val="0"/>
                  <w:marRight w:val="0"/>
                  <w:marTop w:val="0"/>
                  <w:marBottom w:val="0"/>
                  <w:divBdr>
                    <w:top w:val="none" w:sz="0" w:space="0" w:color="auto"/>
                    <w:left w:val="none" w:sz="0" w:space="0" w:color="auto"/>
                    <w:bottom w:val="none" w:sz="0" w:space="0" w:color="auto"/>
                    <w:right w:val="none" w:sz="0" w:space="0" w:color="auto"/>
                  </w:divBdr>
                  <w:divsChild>
                    <w:div w:id="178742117">
                      <w:marLeft w:val="0"/>
                      <w:marRight w:val="0"/>
                      <w:marTop w:val="0"/>
                      <w:marBottom w:val="0"/>
                      <w:divBdr>
                        <w:top w:val="none" w:sz="0" w:space="0" w:color="auto"/>
                        <w:left w:val="none" w:sz="0" w:space="0" w:color="auto"/>
                        <w:bottom w:val="none" w:sz="0" w:space="0" w:color="auto"/>
                        <w:right w:val="none" w:sz="0" w:space="0" w:color="auto"/>
                      </w:divBdr>
                      <w:divsChild>
                        <w:div w:id="29764561">
                          <w:marLeft w:val="0"/>
                          <w:marRight w:val="0"/>
                          <w:marTop w:val="0"/>
                          <w:marBottom w:val="0"/>
                          <w:divBdr>
                            <w:top w:val="none" w:sz="0" w:space="0" w:color="auto"/>
                            <w:left w:val="none" w:sz="0" w:space="0" w:color="auto"/>
                            <w:bottom w:val="none" w:sz="0" w:space="0" w:color="auto"/>
                            <w:right w:val="none" w:sz="0" w:space="0" w:color="auto"/>
                          </w:divBdr>
                          <w:divsChild>
                            <w:div w:id="159007428">
                              <w:marLeft w:val="0"/>
                              <w:marRight w:val="0"/>
                              <w:marTop w:val="0"/>
                              <w:marBottom w:val="0"/>
                              <w:divBdr>
                                <w:top w:val="none" w:sz="0" w:space="0" w:color="auto"/>
                                <w:left w:val="none" w:sz="0" w:space="0" w:color="auto"/>
                                <w:bottom w:val="none" w:sz="0" w:space="0" w:color="auto"/>
                                <w:right w:val="none" w:sz="0" w:space="0" w:color="auto"/>
                              </w:divBdr>
                              <w:divsChild>
                                <w:div w:id="1476144985">
                                  <w:marLeft w:val="0"/>
                                  <w:marRight w:val="0"/>
                                  <w:marTop w:val="0"/>
                                  <w:marBottom w:val="0"/>
                                  <w:divBdr>
                                    <w:top w:val="none" w:sz="0" w:space="0" w:color="auto"/>
                                    <w:left w:val="none" w:sz="0" w:space="0" w:color="auto"/>
                                    <w:bottom w:val="none" w:sz="0" w:space="0" w:color="auto"/>
                                    <w:right w:val="none" w:sz="0" w:space="0" w:color="auto"/>
                                  </w:divBdr>
                                  <w:divsChild>
                                    <w:div w:id="1031954384">
                                      <w:marLeft w:val="0"/>
                                      <w:marRight w:val="0"/>
                                      <w:marTop w:val="0"/>
                                      <w:marBottom w:val="0"/>
                                      <w:divBdr>
                                        <w:top w:val="none" w:sz="0" w:space="0" w:color="auto"/>
                                        <w:left w:val="none" w:sz="0" w:space="0" w:color="auto"/>
                                        <w:bottom w:val="none" w:sz="0" w:space="0" w:color="auto"/>
                                        <w:right w:val="none" w:sz="0" w:space="0" w:color="auto"/>
                                      </w:divBdr>
                                      <w:divsChild>
                                        <w:div w:id="952712021">
                                          <w:marLeft w:val="0"/>
                                          <w:marRight w:val="0"/>
                                          <w:marTop w:val="0"/>
                                          <w:marBottom w:val="0"/>
                                          <w:divBdr>
                                            <w:top w:val="none" w:sz="0" w:space="0" w:color="auto"/>
                                            <w:left w:val="none" w:sz="0" w:space="0" w:color="auto"/>
                                            <w:bottom w:val="none" w:sz="0" w:space="0" w:color="auto"/>
                                            <w:right w:val="none" w:sz="0" w:space="0" w:color="auto"/>
                                          </w:divBdr>
                                          <w:divsChild>
                                            <w:div w:id="992299718">
                                              <w:marLeft w:val="0"/>
                                              <w:marRight w:val="0"/>
                                              <w:marTop w:val="0"/>
                                              <w:marBottom w:val="0"/>
                                              <w:divBdr>
                                                <w:top w:val="none" w:sz="0" w:space="0" w:color="auto"/>
                                                <w:left w:val="none" w:sz="0" w:space="0" w:color="auto"/>
                                                <w:bottom w:val="none" w:sz="0" w:space="0" w:color="auto"/>
                                                <w:right w:val="none" w:sz="0" w:space="0" w:color="auto"/>
                                              </w:divBdr>
                                              <w:divsChild>
                                                <w:div w:id="1045183307">
                                                  <w:marLeft w:val="0"/>
                                                  <w:marRight w:val="0"/>
                                                  <w:marTop w:val="0"/>
                                                  <w:marBottom w:val="0"/>
                                                  <w:divBdr>
                                                    <w:top w:val="none" w:sz="0" w:space="0" w:color="auto"/>
                                                    <w:left w:val="none" w:sz="0" w:space="0" w:color="auto"/>
                                                    <w:bottom w:val="none" w:sz="0" w:space="0" w:color="auto"/>
                                                    <w:right w:val="none" w:sz="0" w:space="0" w:color="auto"/>
                                                  </w:divBdr>
                                                  <w:divsChild>
                                                    <w:div w:id="878784103">
                                                      <w:marLeft w:val="0"/>
                                                      <w:marRight w:val="0"/>
                                                      <w:marTop w:val="0"/>
                                                      <w:marBottom w:val="0"/>
                                                      <w:divBdr>
                                                        <w:top w:val="none" w:sz="0" w:space="0" w:color="auto"/>
                                                        <w:left w:val="none" w:sz="0" w:space="0" w:color="auto"/>
                                                        <w:bottom w:val="none" w:sz="0" w:space="0" w:color="auto"/>
                                                        <w:right w:val="none" w:sz="0" w:space="0" w:color="auto"/>
                                                      </w:divBdr>
                                                      <w:divsChild>
                                                        <w:div w:id="257174866">
                                                          <w:marLeft w:val="0"/>
                                                          <w:marRight w:val="0"/>
                                                          <w:marTop w:val="0"/>
                                                          <w:marBottom w:val="0"/>
                                                          <w:divBdr>
                                                            <w:top w:val="none" w:sz="0" w:space="0" w:color="auto"/>
                                                            <w:left w:val="none" w:sz="0" w:space="0" w:color="auto"/>
                                                            <w:bottom w:val="none" w:sz="0" w:space="0" w:color="auto"/>
                                                            <w:right w:val="none" w:sz="0" w:space="0" w:color="auto"/>
                                                          </w:divBdr>
                                                        </w:div>
                                                        <w:div w:id="411121226">
                                                          <w:marLeft w:val="0"/>
                                                          <w:marRight w:val="0"/>
                                                          <w:marTop w:val="0"/>
                                                          <w:marBottom w:val="0"/>
                                                          <w:divBdr>
                                                            <w:top w:val="none" w:sz="0" w:space="0" w:color="auto"/>
                                                            <w:left w:val="none" w:sz="0" w:space="0" w:color="auto"/>
                                                            <w:bottom w:val="none" w:sz="0" w:space="0" w:color="auto"/>
                                                            <w:right w:val="none" w:sz="0" w:space="0" w:color="auto"/>
                                                          </w:divBdr>
                                                        </w:div>
                                                        <w:div w:id="852915357">
                                                          <w:marLeft w:val="0"/>
                                                          <w:marRight w:val="0"/>
                                                          <w:marTop w:val="0"/>
                                                          <w:marBottom w:val="0"/>
                                                          <w:divBdr>
                                                            <w:top w:val="none" w:sz="0" w:space="0" w:color="auto"/>
                                                            <w:left w:val="none" w:sz="0" w:space="0" w:color="auto"/>
                                                            <w:bottom w:val="none" w:sz="0" w:space="0" w:color="auto"/>
                                                            <w:right w:val="none" w:sz="0" w:space="0" w:color="auto"/>
                                                          </w:divBdr>
                                                        </w:div>
                                                        <w:div w:id="1081220387">
                                                          <w:marLeft w:val="0"/>
                                                          <w:marRight w:val="0"/>
                                                          <w:marTop w:val="0"/>
                                                          <w:marBottom w:val="0"/>
                                                          <w:divBdr>
                                                            <w:top w:val="none" w:sz="0" w:space="0" w:color="auto"/>
                                                            <w:left w:val="none" w:sz="0" w:space="0" w:color="auto"/>
                                                            <w:bottom w:val="none" w:sz="0" w:space="0" w:color="auto"/>
                                                            <w:right w:val="none" w:sz="0" w:space="0" w:color="auto"/>
                                                          </w:divBdr>
                                                        </w:div>
                                                        <w:div w:id="1272325273">
                                                          <w:marLeft w:val="0"/>
                                                          <w:marRight w:val="0"/>
                                                          <w:marTop w:val="0"/>
                                                          <w:marBottom w:val="0"/>
                                                          <w:divBdr>
                                                            <w:top w:val="none" w:sz="0" w:space="0" w:color="auto"/>
                                                            <w:left w:val="none" w:sz="0" w:space="0" w:color="auto"/>
                                                            <w:bottom w:val="none" w:sz="0" w:space="0" w:color="auto"/>
                                                            <w:right w:val="none" w:sz="0" w:space="0" w:color="auto"/>
                                                          </w:divBdr>
                                                        </w:div>
                                                        <w:div w:id="1320571938">
                                                          <w:marLeft w:val="0"/>
                                                          <w:marRight w:val="0"/>
                                                          <w:marTop w:val="0"/>
                                                          <w:marBottom w:val="0"/>
                                                          <w:divBdr>
                                                            <w:top w:val="none" w:sz="0" w:space="0" w:color="auto"/>
                                                            <w:left w:val="none" w:sz="0" w:space="0" w:color="auto"/>
                                                            <w:bottom w:val="none" w:sz="0" w:space="0" w:color="auto"/>
                                                            <w:right w:val="none" w:sz="0" w:space="0" w:color="auto"/>
                                                          </w:divBdr>
                                                        </w:div>
                                                        <w:div w:id="14821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458920">
      <w:bodyDiv w:val="1"/>
      <w:marLeft w:val="0"/>
      <w:marRight w:val="0"/>
      <w:marTop w:val="0"/>
      <w:marBottom w:val="0"/>
      <w:divBdr>
        <w:top w:val="none" w:sz="0" w:space="0" w:color="auto"/>
        <w:left w:val="none" w:sz="0" w:space="0" w:color="auto"/>
        <w:bottom w:val="none" w:sz="0" w:space="0" w:color="auto"/>
        <w:right w:val="none" w:sz="0" w:space="0" w:color="auto"/>
      </w:divBdr>
    </w:div>
    <w:div w:id="1747143203">
      <w:bodyDiv w:val="1"/>
      <w:marLeft w:val="0"/>
      <w:marRight w:val="0"/>
      <w:marTop w:val="0"/>
      <w:marBottom w:val="0"/>
      <w:divBdr>
        <w:top w:val="none" w:sz="0" w:space="0" w:color="auto"/>
        <w:left w:val="none" w:sz="0" w:space="0" w:color="auto"/>
        <w:bottom w:val="none" w:sz="0" w:space="0" w:color="auto"/>
        <w:right w:val="none" w:sz="0" w:space="0" w:color="auto"/>
      </w:divBdr>
    </w:div>
    <w:div w:id="1801537315">
      <w:bodyDiv w:val="1"/>
      <w:marLeft w:val="0"/>
      <w:marRight w:val="0"/>
      <w:marTop w:val="0"/>
      <w:marBottom w:val="0"/>
      <w:divBdr>
        <w:top w:val="none" w:sz="0" w:space="0" w:color="auto"/>
        <w:left w:val="none" w:sz="0" w:space="0" w:color="auto"/>
        <w:bottom w:val="none" w:sz="0" w:space="0" w:color="auto"/>
        <w:right w:val="none" w:sz="0" w:space="0" w:color="auto"/>
      </w:divBdr>
    </w:div>
    <w:div w:id="1802796649">
      <w:bodyDiv w:val="1"/>
      <w:marLeft w:val="0"/>
      <w:marRight w:val="0"/>
      <w:marTop w:val="0"/>
      <w:marBottom w:val="0"/>
      <w:divBdr>
        <w:top w:val="none" w:sz="0" w:space="0" w:color="auto"/>
        <w:left w:val="none" w:sz="0" w:space="0" w:color="auto"/>
        <w:bottom w:val="none" w:sz="0" w:space="0" w:color="auto"/>
        <w:right w:val="none" w:sz="0" w:space="0" w:color="auto"/>
      </w:divBdr>
    </w:div>
    <w:div w:id="1903590409">
      <w:bodyDiv w:val="1"/>
      <w:marLeft w:val="0"/>
      <w:marRight w:val="0"/>
      <w:marTop w:val="0"/>
      <w:marBottom w:val="0"/>
      <w:divBdr>
        <w:top w:val="none" w:sz="0" w:space="0" w:color="auto"/>
        <w:left w:val="none" w:sz="0" w:space="0" w:color="auto"/>
        <w:bottom w:val="none" w:sz="0" w:space="0" w:color="auto"/>
        <w:right w:val="none" w:sz="0" w:space="0" w:color="auto"/>
      </w:divBdr>
    </w:div>
    <w:div w:id="2000191256">
      <w:bodyDiv w:val="1"/>
      <w:marLeft w:val="0"/>
      <w:marRight w:val="0"/>
      <w:marTop w:val="0"/>
      <w:marBottom w:val="0"/>
      <w:divBdr>
        <w:top w:val="none" w:sz="0" w:space="0" w:color="auto"/>
        <w:left w:val="none" w:sz="0" w:space="0" w:color="auto"/>
        <w:bottom w:val="none" w:sz="0" w:space="0" w:color="auto"/>
        <w:right w:val="none" w:sz="0" w:space="0" w:color="auto"/>
      </w:divBdr>
    </w:div>
    <w:div w:id="206143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oodstandards.gov.au/code/applications/Pages/A1142Method-of-Analysis-for-Resistant-Starch.aspx" TargetMode="External"/><Relationship Id="rId26" Type="http://schemas.openxmlformats.org/officeDocument/2006/relationships/image" Target="media/image7.png"/><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oodstandards.gov.au/code/applications/Pages/applicationa277inulinasadietaryfibre/index.aspx" TargetMode="External"/><Relationship Id="rId29" Type="http://schemas.openxmlformats.org/officeDocument/2006/relationships/hyperlink" Target="http://arohatgi.info/WebPlotDigitizer/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2.png"/><Relationship Id="rId28" Type="http://schemas.openxmlformats.org/officeDocument/2006/relationships/image" Target="media/image9.png"/><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settings" Target="settings.xml"/><Relationship Id="rId19" Type="http://schemas.openxmlformats.org/officeDocument/2006/relationships/hyperlink" Target="https://www.foodstandards.gov.au/code/applications/Pages/applicationa491resistantmaltodextrinasdietaryfibre/index.aspx" TargetMode="External"/><Relationship Id="rId31" Type="http://schemas.openxmlformats.org/officeDocument/2006/relationships/image" Target="media/image11.png"/><Relationship Id="rId30" Type="http://schemas.openxmlformats.org/officeDocument/2006/relationships/image" Target="media/image10.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0967-F0AC-4340-97B6-2EA71958306D}"/>
</file>

<file path=customXml/itemProps2.xml><?xml version="1.0" encoding="utf-8"?>
<ds:datastoreItem xmlns:ds="http://schemas.openxmlformats.org/officeDocument/2006/customXml" ds:itemID="{6F1EFAF3-5DAD-434E-A3AC-359BFBB5997D}"/>
</file>

<file path=customXml/itemProps3.xml><?xml version="1.0" encoding="utf-8"?>
<ds:datastoreItem xmlns:ds="http://schemas.openxmlformats.org/officeDocument/2006/customXml" ds:itemID="{C03E16A0-D111-4D72-8349-812FF929133B}"/>
</file>

<file path=customXml/itemProps4.xml><?xml version="1.0" encoding="utf-8"?>
<ds:datastoreItem xmlns:ds="http://schemas.openxmlformats.org/officeDocument/2006/customXml" ds:itemID="{A28EC09D-2113-482B-BABF-D79317321E92}">
  <ds:schemaRefs>
    <ds:schemaRef ds:uri="Microsoft.SharePoint.Taxonomy.ContentTypeSync"/>
  </ds:schemaRefs>
</ds:datastoreItem>
</file>

<file path=customXml/itemProps5.xml><?xml version="1.0" encoding="utf-8"?>
<ds:datastoreItem xmlns:ds="http://schemas.openxmlformats.org/officeDocument/2006/customXml" ds:itemID="{48230967-F0AC-4340-97B6-2EA71958306D}">
  <ds:schemaRefs>
    <ds:schemaRef ds:uri="http://schemas.microsoft.com/sharepoint/v3/contenttype/forms"/>
  </ds:schemaRefs>
</ds:datastoreItem>
</file>

<file path=customXml/itemProps6.xml><?xml version="1.0" encoding="utf-8"?>
<ds:datastoreItem xmlns:ds="http://schemas.openxmlformats.org/officeDocument/2006/customXml" ds:itemID="{DB4BBBA9-375D-4A6B-8900-2968D334E761}"/>
</file>

<file path=customXml/itemProps7.xml><?xml version="1.0" encoding="utf-8"?>
<ds:datastoreItem xmlns:ds="http://schemas.openxmlformats.org/officeDocument/2006/customXml" ds:itemID="{369FA5C5-0CD0-45B9-AC05-E8074FB7ACA3}"/>
</file>

<file path=docProps/app.xml><?xml version="1.0" encoding="utf-8"?>
<Properties xmlns="http://schemas.openxmlformats.org/officeDocument/2006/extended-properties" xmlns:vt="http://schemas.openxmlformats.org/officeDocument/2006/docPropsVTypes">
  <Template>Normal</Template>
  <TotalTime>0</TotalTime>
  <Pages>44</Pages>
  <Words>19569</Words>
  <Characters>111549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130857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Tailee Vecchi</cp:lastModifiedBy>
  <cp:revision>2</cp:revision>
  <cp:lastPrinted>2011-08-22T03:30:00Z</cp:lastPrinted>
  <dcterms:created xsi:type="dcterms:W3CDTF">2021-05-20T05:12:00Z</dcterms:created>
  <dcterms:modified xsi:type="dcterms:W3CDTF">2021-05-20T05:12:00Z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86f96d89-6880-4d0a-8af6-76a919207a53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7b761cd4-9002-4a26-b85d-a80128ccf2c3</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